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9622C2" w:rsidRDefault="00124B29"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DHL 香港空運貿易領先指數 (DTI)</w:t>
      </w:r>
    </w:p>
    <w:p w:rsidR="00124B29" w:rsidRPr="009622C2" w:rsidRDefault="007655C2"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20</w:t>
      </w:r>
      <w:r w:rsidR="00B2247E" w:rsidRPr="009622C2">
        <w:rPr>
          <w:rFonts w:ascii="微軟正黑體" w:eastAsia="微軟正黑體" w:hAnsi="微軟正黑體"/>
          <w:b/>
          <w:color w:val="000000" w:themeColor="text1"/>
          <w:szCs w:val="24"/>
        </w:rPr>
        <w:t>2</w:t>
      </w:r>
      <w:r w:rsidR="003E6E9D" w:rsidRPr="009622C2">
        <w:rPr>
          <w:rFonts w:ascii="微軟正黑體" w:eastAsia="微軟正黑體" w:hAnsi="微軟正黑體"/>
          <w:b/>
          <w:color w:val="000000" w:themeColor="text1"/>
          <w:szCs w:val="24"/>
        </w:rPr>
        <w:t>1</w:t>
      </w:r>
      <w:r w:rsidRPr="009622C2">
        <w:rPr>
          <w:rFonts w:ascii="微軟正黑體" w:eastAsia="微軟正黑體" w:hAnsi="微軟正黑體" w:hint="eastAsia"/>
          <w:b/>
          <w:color w:val="000000" w:themeColor="text1"/>
          <w:szCs w:val="24"/>
        </w:rPr>
        <w:t>年第</w:t>
      </w:r>
      <w:r w:rsidR="00476443" w:rsidRPr="009622C2">
        <w:rPr>
          <w:rFonts w:ascii="微軟正黑體" w:eastAsia="微軟正黑體" w:hAnsi="微軟正黑體" w:hint="eastAsia"/>
          <w:b/>
          <w:color w:val="000000" w:themeColor="text1"/>
          <w:szCs w:val="24"/>
        </w:rPr>
        <w:t>二</w:t>
      </w:r>
      <w:r w:rsidRPr="009622C2">
        <w:rPr>
          <w:rFonts w:ascii="微軟正黑體" w:eastAsia="微軟正黑體" w:hAnsi="微軟正黑體" w:hint="eastAsia"/>
          <w:b/>
          <w:color w:val="000000" w:themeColor="text1"/>
          <w:szCs w:val="24"/>
        </w:rPr>
        <w:t>季度報告</w:t>
      </w:r>
    </w:p>
    <w:p w:rsidR="007655C2" w:rsidRPr="009622C2" w:rsidRDefault="007655C2" w:rsidP="00124B29">
      <w:pPr>
        <w:rPr>
          <w:rFonts w:ascii="微軟正黑體" w:eastAsia="微軟正黑體" w:hAnsi="微軟正黑體"/>
          <w:color w:val="000000" w:themeColor="text1"/>
          <w:szCs w:val="24"/>
        </w:rPr>
      </w:pPr>
    </w:p>
    <w:p w:rsidR="00F04785" w:rsidRPr="009622C2" w:rsidRDefault="00F04785" w:rsidP="007163A4">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9622C2" w:rsidRDefault="00124B29" w:rsidP="007163A4">
      <w:pPr>
        <w:jc w:val="both"/>
        <w:rPr>
          <w:rFonts w:ascii="微軟正黑體" w:eastAsia="微軟正黑體" w:hAnsi="微軟正黑體"/>
          <w:color w:val="000000" w:themeColor="text1"/>
          <w:szCs w:val="24"/>
          <w:lang w:eastAsia="zh-HK"/>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摘要</w:t>
      </w: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9622C2" w:rsidRDefault="00B2247E" w:rsidP="00B2247E">
      <w:pPr>
        <w:jc w:val="both"/>
        <w:rPr>
          <w:rFonts w:ascii="微軟正黑體" w:eastAsia="微軟正黑體" w:hAnsi="微軟正黑體"/>
          <w:color w:val="000000" w:themeColor="text1"/>
          <w:szCs w:val="24"/>
        </w:rPr>
      </w:pP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B2247E" w:rsidRPr="009622C2" w:rsidRDefault="00B2247E" w:rsidP="00B2247E">
      <w:pPr>
        <w:jc w:val="both"/>
        <w:rPr>
          <w:rFonts w:ascii="微軟正黑體" w:eastAsia="微軟正黑體" w:hAnsi="微軟正黑體"/>
          <w:color w:val="000000" w:themeColor="text1"/>
          <w:szCs w:val="24"/>
        </w:rPr>
      </w:pP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9622C2" w:rsidRDefault="00B2247E" w:rsidP="00B2247E">
      <w:pPr>
        <w:jc w:val="both"/>
        <w:rPr>
          <w:rFonts w:ascii="微軟正黑體" w:eastAsia="微軟正黑體" w:hAnsi="微軟正黑體"/>
          <w:color w:val="000000" w:themeColor="text1"/>
          <w:szCs w:val="24"/>
        </w:rPr>
      </w:pP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9622C2" w:rsidRDefault="00F04785" w:rsidP="007163A4">
      <w:pPr>
        <w:jc w:val="both"/>
        <w:rPr>
          <w:rFonts w:ascii="微軟正黑體" w:eastAsia="微軟正黑體" w:hAnsi="微軟正黑體"/>
          <w:color w:val="000000" w:themeColor="text1"/>
          <w:szCs w:val="24"/>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研究方法</w:t>
      </w:r>
    </w:p>
    <w:p w:rsidR="00124B29" w:rsidRPr="009622C2" w:rsidRDefault="00B2247E" w:rsidP="007163A4">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9622C2" w:rsidRDefault="00B2247E" w:rsidP="007163A4">
      <w:pPr>
        <w:jc w:val="both"/>
        <w:rPr>
          <w:rFonts w:ascii="微軟正黑體" w:eastAsia="微軟正黑體" w:hAnsi="微軟正黑體"/>
          <w:color w:val="000000" w:themeColor="text1"/>
          <w:szCs w:val="24"/>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指數導讀</w:t>
      </w: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指數顯示50以上代表正面的前景展望，指數在50以下則代表負面的前景展望。</w:t>
      </w:r>
    </w:p>
    <w:p w:rsidR="00370CBC"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指數距離50愈遠，表示對前景的展望愈見正面或負面。</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124B29" w:rsidP="007163A4">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受訪者背景</w:t>
      </w:r>
    </w:p>
    <w:p w:rsidR="00B2247E"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B2247E" w:rsidP="00B2247E">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lastRenderedPageBreak/>
        <w:t>自</w:t>
      </w:r>
      <w:r w:rsidRPr="009622C2">
        <w:rPr>
          <w:rFonts w:ascii="微軟正黑體" w:eastAsia="微軟正黑體" w:hAnsi="微軟正黑體"/>
          <w:color w:val="000000" w:themeColor="text1"/>
          <w:szCs w:val="24"/>
        </w:rPr>
        <w:t>2014</w:t>
      </w:r>
      <w:r w:rsidRPr="009622C2">
        <w:rPr>
          <w:rFonts w:ascii="微軟正黑體" w:eastAsia="微軟正黑體" w:hAnsi="微軟正黑體" w:hint="eastAsia"/>
          <w:color w:val="000000" w:themeColor="text1"/>
          <w:szCs w:val="24"/>
        </w:rPr>
        <w:t>年第二季首次進行調查起，每季從超過</w:t>
      </w:r>
      <w:r w:rsidRPr="009622C2">
        <w:rPr>
          <w:rFonts w:ascii="微軟正黑體" w:eastAsia="微軟正黑體" w:hAnsi="微軟正黑體"/>
          <w:color w:val="000000" w:themeColor="text1"/>
          <w:szCs w:val="24"/>
        </w:rPr>
        <w:t>1</w:t>
      </w:r>
      <w:r w:rsidRPr="009622C2">
        <w:rPr>
          <w:rFonts w:ascii="微軟正黑體" w:eastAsia="微軟正黑體" w:hAnsi="微軟正黑體" w:hint="eastAsia"/>
          <w:color w:val="000000" w:themeColor="text1"/>
          <w:szCs w:val="24"/>
        </w:rPr>
        <w:t>萬個調研對象中隨機抽選以進行電話訪問，收集</w:t>
      </w:r>
      <w:r w:rsidRPr="009622C2">
        <w:rPr>
          <w:rFonts w:ascii="微軟正黑體" w:eastAsia="微軟正黑體" w:hAnsi="微軟正黑體"/>
          <w:color w:val="000000" w:themeColor="text1"/>
          <w:szCs w:val="24"/>
        </w:rPr>
        <w:t>600</w:t>
      </w:r>
      <w:r w:rsidRPr="009622C2">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9622C2" w:rsidRDefault="00124B29" w:rsidP="007163A4">
      <w:pPr>
        <w:jc w:val="both"/>
        <w:rPr>
          <w:rFonts w:ascii="微軟正黑體" w:eastAsia="微軟正黑體" w:hAnsi="微軟正黑體"/>
          <w:color w:val="000000" w:themeColor="text1"/>
          <w:szCs w:val="24"/>
        </w:rPr>
      </w:pPr>
    </w:p>
    <w:p w:rsidR="003238E6" w:rsidRPr="009622C2" w:rsidRDefault="00D0732C" w:rsidP="00F04785">
      <w:pPr>
        <w:jc w:val="both"/>
        <w:rPr>
          <w:rFonts w:ascii="微軟正黑體" w:eastAsia="微軟正黑體" w:hAnsi="微軟正黑體"/>
          <w:color w:val="000000" w:themeColor="text1"/>
          <w:szCs w:val="24"/>
        </w:rPr>
      </w:pPr>
      <w:r w:rsidRPr="009622C2">
        <w:rPr>
          <w:rFonts w:ascii="微軟正黑體" w:eastAsia="微軟正黑體" w:hAnsi="微軟正黑體"/>
          <w:color w:val="000000" w:themeColor="text1"/>
          <w:szCs w:val="24"/>
        </w:rPr>
        <w:t>(</w:t>
      </w:r>
      <w:r w:rsidR="00F04785" w:rsidRPr="009622C2">
        <w:rPr>
          <w:rFonts w:ascii="微軟正黑體" w:eastAsia="微軟正黑體" w:hAnsi="微軟正黑體" w:hint="eastAsia"/>
          <w:color w:val="000000" w:themeColor="text1"/>
          <w:szCs w:val="24"/>
        </w:rPr>
        <w:t>1</w:t>
      </w:r>
      <w:r w:rsidRPr="009622C2">
        <w:rPr>
          <w:rFonts w:ascii="微軟正黑體" w:eastAsia="微軟正黑體" w:hAnsi="微軟正黑體"/>
          <w:color w:val="000000" w:themeColor="text1"/>
          <w:szCs w:val="24"/>
        </w:rPr>
        <w:t>)</w:t>
      </w:r>
      <w:r w:rsidR="00124B29" w:rsidRPr="009622C2">
        <w:rPr>
          <w:rFonts w:ascii="微軟正黑體" w:eastAsia="微軟正黑體" w:hAnsi="微軟正黑體" w:hint="eastAsia"/>
          <w:color w:val="000000" w:themeColor="text1"/>
          <w:szCs w:val="24"/>
        </w:rPr>
        <w:t xml:space="preserve"> </w:t>
      </w:r>
      <w:r w:rsidR="00F04785" w:rsidRPr="009622C2">
        <w:rPr>
          <w:rFonts w:ascii="微軟正黑體" w:eastAsia="微軟正黑體" w:hAnsi="微軟正黑體"/>
          <w:color w:val="000000" w:themeColor="text1"/>
          <w:szCs w:val="24"/>
        </w:rPr>
        <w:t>201</w:t>
      </w:r>
      <w:r w:rsidR="00B2247E" w:rsidRPr="009622C2">
        <w:rPr>
          <w:rFonts w:ascii="微軟正黑體" w:eastAsia="微軟正黑體" w:hAnsi="微軟正黑體" w:hint="eastAsia"/>
          <w:color w:val="000000" w:themeColor="text1"/>
          <w:szCs w:val="24"/>
        </w:rPr>
        <w:t>8</w:t>
      </w:r>
      <w:r w:rsidR="00F04785" w:rsidRPr="009622C2">
        <w:rPr>
          <w:rFonts w:ascii="微軟正黑體" w:eastAsia="微軟正黑體" w:hAnsi="微軟正黑體" w:hint="eastAsia"/>
          <w:color w:val="000000" w:themeColor="text1"/>
          <w:szCs w:val="24"/>
        </w:rPr>
        <w:t>年版政府統計處「運輸、倉庫及速遞服務業的業務表現及營運特色的主要統計數字」</w:t>
      </w:r>
    </w:p>
    <w:p w:rsidR="009156F1" w:rsidRPr="009622C2" w:rsidRDefault="009156F1">
      <w:pPr>
        <w:widowControl/>
        <w:rPr>
          <w:rFonts w:ascii="微軟正黑體" w:eastAsia="微軟正黑體" w:hAnsi="微軟正黑體"/>
          <w:b/>
          <w:color w:val="000000" w:themeColor="text1"/>
          <w:szCs w:val="24"/>
        </w:rPr>
      </w:pPr>
      <w:r w:rsidRPr="009622C2">
        <w:rPr>
          <w:rFonts w:ascii="微軟正黑體" w:eastAsia="微軟正黑體" w:hAnsi="微軟正黑體"/>
          <w:b/>
          <w:color w:val="000000" w:themeColor="text1"/>
          <w:szCs w:val="24"/>
        </w:rPr>
        <w:br w:type="page"/>
      </w:r>
    </w:p>
    <w:p w:rsidR="00F04785" w:rsidRPr="009622C2" w:rsidRDefault="00F04785"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lastRenderedPageBreak/>
        <w:t>本季撮要</w:t>
      </w:r>
    </w:p>
    <w:p w:rsidR="00F04785" w:rsidRPr="009622C2" w:rsidRDefault="00F04785" w:rsidP="003A51DD">
      <w:pPr>
        <w:jc w:val="both"/>
        <w:rPr>
          <w:rFonts w:ascii="微軟正黑體" w:eastAsia="微軟正黑體" w:hAnsi="微軟正黑體"/>
          <w:b/>
          <w:color w:val="000000" w:themeColor="text1"/>
          <w:szCs w:val="24"/>
        </w:rPr>
      </w:pPr>
    </w:p>
    <w:p w:rsidR="003E6E9D" w:rsidRPr="009622C2" w:rsidRDefault="00476443"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整體結果顯示空運貿易有顯著改善。整體指數上升至38.7點，本地空運用家對2021年第二季的國際貿易發展普遍保守樂觀。</w:t>
      </w:r>
    </w:p>
    <w:p w:rsidR="00AF65D7" w:rsidRPr="009622C2" w:rsidRDefault="00AF65D7" w:rsidP="003A51DD">
      <w:pPr>
        <w:jc w:val="both"/>
        <w:rPr>
          <w:rFonts w:ascii="微軟正黑體" w:eastAsia="微軟正黑體" w:hAnsi="微軟正黑體"/>
          <w:b/>
          <w:color w:val="000000" w:themeColor="text1"/>
          <w:szCs w:val="24"/>
          <w:lang w:eastAsia="zh-HK"/>
        </w:rPr>
      </w:pPr>
    </w:p>
    <w:p w:rsidR="00476443" w:rsidRPr="009622C2" w:rsidRDefault="00476443" w:rsidP="00476443">
      <w:pPr>
        <w:pStyle w:val="a3"/>
        <w:numPr>
          <w:ilvl w:val="0"/>
          <w:numId w:val="3"/>
        </w:numPr>
        <w:ind w:leftChars="0"/>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各地區均展現出正面的增長動力。美洲在強勁的出入口增長的支持下，於所有地區中錄得最高數值，該地區的緊急訂單指數更是自2018年中以來，首次升穿50點。</w:t>
      </w:r>
    </w:p>
    <w:p w:rsidR="00476443" w:rsidRPr="009622C2" w:rsidRDefault="00476443" w:rsidP="00476443">
      <w:pPr>
        <w:pStyle w:val="a3"/>
        <w:numPr>
          <w:ilvl w:val="0"/>
          <w:numId w:val="3"/>
        </w:numPr>
        <w:ind w:leftChars="0"/>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疫情改變了大眾的生活模式，網上零售業 (B2C) 亦變得日趨重要。本季，相關市場指數大幅度躍升至49點，接近50點的持平線。</w:t>
      </w:r>
    </w:p>
    <w:p w:rsidR="00476443" w:rsidRPr="009622C2" w:rsidRDefault="00476443" w:rsidP="00476443">
      <w:pPr>
        <w:pStyle w:val="a3"/>
        <w:numPr>
          <w:ilvl w:val="0"/>
          <w:numId w:val="3"/>
        </w:numPr>
        <w:ind w:leftChars="0"/>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空運商品當中，食物及飲料持續居首，鐘錶及首飾緊隨其後。</w:t>
      </w:r>
    </w:p>
    <w:p w:rsidR="00476443" w:rsidRPr="009622C2" w:rsidRDefault="00476443" w:rsidP="00476443">
      <w:pPr>
        <w:pStyle w:val="a3"/>
        <w:numPr>
          <w:ilvl w:val="0"/>
          <w:numId w:val="3"/>
        </w:numPr>
        <w:ind w:leftChars="0"/>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空運用家的盈利狀況亦有所改善，調查顯示業務錄得虧損的受訪者減少。</w:t>
      </w:r>
    </w:p>
    <w:p w:rsidR="003E6E9D" w:rsidRPr="009622C2" w:rsidRDefault="00476443" w:rsidP="00476443">
      <w:pPr>
        <w:pStyle w:val="a3"/>
        <w:numPr>
          <w:ilvl w:val="0"/>
          <w:numId w:val="3"/>
        </w:numPr>
        <w:ind w:leftChars="0"/>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受到香港收緊來港機組人員方面的檢疫政策及年初歐美的惡劣天氣所影響，空運及海運的載運能力持續受壓，然而70%本地空運用家仍然選擇承擔額外的成本，未有選用香港以外的出口地、減少出口或延遲出貨。</w:t>
      </w:r>
    </w:p>
    <w:p w:rsidR="00F04785" w:rsidRPr="009622C2" w:rsidRDefault="00F04785" w:rsidP="00F04785">
      <w:pPr>
        <w:jc w:val="both"/>
        <w:rPr>
          <w:rFonts w:ascii="微軟正黑體" w:eastAsia="微軟正黑體" w:hAnsi="微軟正黑體"/>
          <w:color w:val="000000" w:themeColor="text1"/>
          <w:szCs w:val="24"/>
        </w:rPr>
      </w:pPr>
    </w:p>
    <w:p w:rsidR="004664BC" w:rsidRPr="009622C2" w:rsidRDefault="004664BC" w:rsidP="00515782">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香港生產力促進局(生產力局)首席數碼總監黎少斌先生表示：「</w:t>
      </w:r>
      <w:r w:rsidR="00476443" w:rsidRPr="009622C2">
        <w:rPr>
          <w:rFonts w:ascii="微軟正黑體" w:eastAsia="微軟正黑體" w:hAnsi="微軟正黑體" w:hint="eastAsia"/>
          <w:color w:val="000000" w:themeColor="text1"/>
          <w:szCs w:val="24"/>
        </w:rPr>
        <w:t>自本年初世界各地推出疫苗接種計劃後，有跡象顯示新型冠狀病毒疫情從高峰位回落，全球預期疫情將會得到有效控制，這造就空運用家對經濟展望更為樂觀。企業要把握經濟回春先機，需盡早預先制定內部的『復甦方案』，以應對市場反彈對供應鏈操作、市場載貨能力及物流成本等方面所帶來的潛在挑戰。數碼化仍會是未來業務運作的關鍵。為協助香港企業踏上這條數碼轉型之路，香港特區政府於2021至22年度財政預算案中宣佈多項工商業支援措施，企業應積極考慮善用有關支援持續投放資源開發和應用新科技，以提升競爭力。</w:t>
      </w:r>
      <w:r w:rsidRPr="009622C2">
        <w:rPr>
          <w:rFonts w:ascii="微軟正黑體" w:eastAsia="微軟正黑體" w:hAnsi="微軟正黑體" w:hint="eastAsia"/>
          <w:color w:val="000000" w:themeColor="text1"/>
          <w:szCs w:val="24"/>
        </w:rPr>
        <w:t>」</w:t>
      </w:r>
    </w:p>
    <w:p w:rsidR="008974E8" w:rsidRPr="009622C2" w:rsidRDefault="008974E8" w:rsidP="00124B29">
      <w:pPr>
        <w:rPr>
          <w:rFonts w:ascii="微軟正黑體" w:eastAsia="微軟正黑體" w:hAnsi="微軟正黑體"/>
          <w:color w:val="000000" w:themeColor="text1"/>
          <w:szCs w:val="24"/>
        </w:rPr>
      </w:pPr>
    </w:p>
    <w:p w:rsidR="00124B29" w:rsidRPr="009622C2" w:rsidRDefault="00861671"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空運貿易</w:t>
      </w:r>
      <w:r w:rsidR="00124B29" w:rsidRPr="009622C2">
        <w:rPr>
          <w:rFonts w:ascii="微軟正黑體" w:eastAsia="微軟正黑體" w:hAnsi="微軟正黑體" w:hint="eastAsia"/>
          <w:b/>
          <w:color w:val="000000" w:themeColor="text1"/>
          <w:szCs w:val="24"/>
        </w:rPr>
        <w:t>整體指數</w:t>
      </w:r>
    </w:p>
    <w:p w:rsidR="003E6E9D" w:rsidRPr="009622C2" w:rsidRDefault="00476443" w:rsidP="003E6E9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多項指數於本季都有顯著改善。空運用家對2021年第二季的國際空運貿展望普遍樂觀。</w:t>
      </w:r>
    </w:p>
    <w:p w:rsidR="004D0336" w:rsidRPr="009622C2" w:rsidRDefault="004D0336" w:rsidP="003E6E9D">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整體空運</w:t>
      </w:r>
      <w:r w:rsidRPr="009622C2">
        <w:rPr>
          <w:rFonts w:ascii="微軟正黑體" w:eastAsia="微軟正黑體" w:hAnsi="微軟正黑體" w:hint="eastAsia"/>
          <w:color w:val="000000" w:themeColor="text1"/>
          <w:szCs w:val="24"/>
        </w:rPr>
        <w:t>指數從上季的31.8點上升6.9點至本季的38.7點。出口/轉口和入口皆有明顯改善。</w:t>
      </w:r>
    </w:p>
    <w:p w:rsidR="00476443" w:rsidRPr="009622C2" w:rsidRDefault="00476443" w:rsidP="00476443">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出口／轉口</w:t>
      </w:r>
      <w:r w:rsidRPr="009622C2">
        <w:rPr>
          <w:rFonts w:ascii="微軟正黑體" w:eastAsia="微軟正黑體" w:hAnsi="微軟正黑體" w:hint="eastAsia"/>
          <w:color w:val="000000" w:themeColor="text1"/>
          <w:szCs w:val="24"/>
        </w:rPr>
        <w:t>指數從上季的32點上升6點至本季的38點，升勢分佈於多個地區。</w:t>
      </w:r>
    </w:p>
    <w:p w:rsidR="00476443" w:rsidRPr="009622C2" w:rsidRDefault="00476443" w:rsidP="00476443">
      <w:pPr>
        <w:jc w:val="both"/>
        <w:rPr>
          <w:rFonts w:ascii="微軟正黑體" w:eastAsia="微軟正黑體" w:hAnsi="微軟正黑體"/>
          <w:color w:val="000000" w:themeColor="text1"/>
          <w:szCs w:val="24"/>
        </w:rPr>
      </w:pPr>
    </w:p>
    <w:p w:rsidR="003E6E9D"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入口</w:t>
      </w:r>
      <w:r w:rsidRPr="009622C2">
        <w:rPr>
          <w:rFonts w:ascii="微軟正黑體" w:eastAsia="微軟正黑體" w:hAnsi="微軟正黑體" w:hint="eastAsia"/>
          <w:color w:val="000000" w:themeColor="text1"/>
          <w:szCs w:val="24"/>
        </w:rPr>
        <w:t>指數從上季的31.4點上升8.6點至本季的40點，於大部份地區呈現增長。空運用家預期歐洲及美洲於一眾地區中會反彈最強勁。</w:t>
      </w:r>
    </w:p>
    <w:p w:rsidR="003E6E9D" w:rsidRPr="009622C2" w:rsidRDefault="003E6E9D" w:rsidP="00AF65D7">
      <w:pPr>
        <w:rPr>
          <w:rFonts w:ascii="微軟正黑體" w:eastAsia="微軟正黑體" w:hAnsi="微軟正黑體"/>
          <w:color w:val="000000" w:themeColor="text1"/>
          <w:szCs w:val="24"/>
        </w:rPr>
      </w:pPr>
    </w:p>
    <w:p w:rsidR="00124B29" w:rsidRPr="009622C2" w:rsidRDefault="00124B29"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基本因素</w:t>
      </w:r>
    </w:p>
    <w:p w:rsidR="003E6E9D" w:rsidRPr="009622C2" w:rsidRDefault="00476443" w:rsidP="009E2D86">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lastRenderedPageBreak/>
        <w:t>於2021年第二季，三項基本因素皆向好，包括銷售量、產品種類及緊急訂單，並重回2019年年中的水平。</w:t>
      </w:r>
    </w:p>
    <w:p w:rsidR="008E5264" w:rsidRPr="009622C2" w:rsidRDefault="008E5264" w:rsidP="009E2D86">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緊急訂單</w:t>
      </w:r>
      <w:r w:rsidRPr="009622C2">
        <w:rPr>
          <w:rFonts w:ascii="微軟正黑體" w:eastAsia="微軟正黑體" w:hAnsi="微軟正黑體" w:hint="eastAsia"/>
          <w:color w:val="000000" w:themeColor="text1"/>
          <w:szCs w:val="24"/>
        </w:rPr>
        <w:t>及</w:t>
      </w:r>
      <w:r w:rsidRPr="009622C2">
        <w:rPr>
          <w:rFonts w:ascii="微軟正黑體" w:eastAsia="微軟正黑體" w:hAnsi="微軟正黑體" w:hint="eastAsia"/>
          <w:b/>
          <w:color w:val="000000" w:themeColor="text1"/>
          <w:szCs w:val="24"/>
        </w:rPr>
        <w:t>產品種類</w:t>
      </w:r>
      <w:r w:rsidRPr="009622C2">
        <w:rPr>
          <w:rFonts w:ascii="微軟正黑體" w:eastAsia="微軟正黑體" w:hAnsi="微軟正黑體" w:hint="eastAsia"/>
          <w:color w:val="000000" w:themeColor="text1"/>
          <w:szCs w:val="24"/>
        </w:rPr>
        <w:t>指數於本季同樣上升至45點，分別錄得10點及4點的升幅。美洲及中國內地帶動這兩項基本因素的升幅，相關指數接近或超越50點持平線。</w:t>
      </w:r>
    </w:p>
    <w:p w:rsidR="00476443" w:rsidRPr="009622C2" w:rsidRDefault="00476443" w:rsidP="00476443">
      <w:pPr>
        <w:jc w:val="both"/>
        <w:rPr>
          <w:rFonts w:ascii="微軟正黑體" w:eastAsia="微軟正黑體" w:hAnsi="微軟正黑體"/>
          <w:color w:val="000000" w:themeColor="text1"/>
          <w:szCs w:val="24"/>
        </w:rPr>
      </w:pPr>
    </w:p>
    <w:p w:rsidR="003E6E9D"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銷售量</w:t>
      </w:r>
      <w:r w:rsidRPr="009622C2">
        <w:rPr>
          <w:rFonts w:ascii="微軟正黑體" w:eastAsia="微軟正黑體" w:hAnsi="微軟正黑體" w:hint="eastAsia"/>
          <w:color w:val="000000" w:themeColor="text1"/>
          <w:szCs w:val="24"/>
        </w:rPr>
        <w:t>指數雖於上季稍為下跌，但本季反彈8點至37點。指數於所有地區皆錄得增長，以中國內地最為顯著。</w:t>
      </w:r>
    </w:p>
    <w:p w:rsidR="003E6E9D" w:rsidRPr="009622C2" w:rsidRDefault="003E6E9D" w:rsidP="008F7D5D">
      <w:pPr>
        <w:jc w:val="both"/>
        <w:rPr>
          <w:rFonts w:ascii="微軟正黑體" w:eastAsia="微軟正黑體" w:hAnsi="微軟正黑體"/>
          <w:color w:val="000000" w:themeColor="text1"/>
          <w:szCs w:val="24"/>
        </w:rPr>
      </w:pPr>
    </w:p>
    <w:p w:rsidR="00124B29" w:rsidRPr="009622C2" w:rsidRDefault="00124B29" w:rsidP="00CB5400">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貿易航線</w:t>
      </w:r>
    </w:p>
    <w:p w:rsidR="00467E1F" w:rsidRPr="009622C2" w:rsidRDefault="00476443"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各地區指數均有增長。美洲指數於本季一馬當先，與上季比較，歐洲則錄得最大幅度改善。</w:t>
      </w:r>
    </w:p>
    <w:p w:rsidR="00AF65D7" w:rsidRPr="009622C2" w:rsidRDefault="00AF65D7" w:rsidP="003A51DD">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美洲</w:t>
      </w:r>
      <w:r w:rsidRPr="009622C2">
        <w:rPr>
          <w:rFonts w:ascii="微軟正黑體" w:eastAsia="微軟正黑體" w:hAnsi="微軟正黑體" w:hint="eastAsia"/>
          <w:color w:val="000000" w:themeColor="text1"/>
          <w:szCs w:val="24"/>
        </w:rPr>
        <w:t>指數上升4點至44點，是所有市場之首，出口及入口方面更是連續三個季度回升。</w:t>
      </w:r>
    </w:p>
    <w:p w:rsidR="00476443" w:rsidRPr="009622C2" w:rsidRDefault="00476443" w:rsidP="00476443">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亞太地區</w:t>
      </w:r>
      <w:r w:rsidRPr="009622C2">
        <w:rPr>
          <w:rFonts w:ascii="微軟正黑體" w:eastAsia="微軟正黑體" w:hAnsi="微軟正黑體" w:hint="eastAsia"/>
          <w:color w:val="000000" w:themeColor="text1"/>
          <w:szCs w:val="24"/>
        </w:rPr>
        <w:t>指數上升5點至38點，出口及入口方面於連續三個季度持續改善。</w:t>
      </w:r>
    </w:p>
    <w:p w:rsidR="00476443" w:rsidRPr="009622C2" w:rsidRDefault="00476443" w:rsidP="00476443">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歐洲</w:t>
      </w:r>
      <w:r w:rsidRPr="009622C2">
        <w:rPr>
          <w:rFonts w:ascii="微軟正黑體" w:eastAsia="微軟正黑體" w:hAnsi="微軟正黑體" w:hint="eastAsia"/>
          <w:color w:val="000000" w:themeColor="text1"/>
          <w:szCs w:val="24"/>
        </w:rPr>
        <w:t>指數於上季微跌後，本季回升12點至37點，改善幅度是各主要市場之中最為顯著。</w:t>
      </w:r>
    </w:p>
    <w:p w:rsidR="00476443" w:rsidRPr="009622C2" w:rsidRDefault="00476443" w:rsidP="00476443">
      <w:pPr>
        <w:jc w:val="both"/>
        <w:rPr>
          <w:rFonts w:ascii="微軟正黑體" w:eastAsia="微軟正黑體" w:hAnsi="微軟正黑體"/>
          <w:color w:val="000000" w:themeColor="text1"/>
          <w:szCs w:val="24"/>
        </w:rPr>
      </w:pPr>
    </w:p>
    <w:p w:rsidR="00467E1F"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b/>
          <w:color w:val="000000" w:themeColor="text1"/>
          <w:szCs w:val="24"/>
        </w:rPr>
        <w:t>其他地區</w:t>
      </w:r>
      <w:r w:rsidRPr="009622C2">
        <w:rPr>
          <w:rFonts w:ascii="微軟正黑體" w:eastAsia="微軟正黑體" w:hAnsi="微軟正黑體" w:hint="eastAsia"/>
          <w:color w:val="000000" w:themeColor="text1"/>
          <w:szCs w:val="24"/>
        </w:rPr>
        <w:t>指數微升至28點。</w:t>
      </w:r>
    </w:p>
    <w:p w:rsidR="00467E1F" w:rsidRPr="009622C2" w:rsidRDefault="00467E1F" w:rsidP="00AF65D7">
      <w:pPr>
        <w:jc w:val="both"/>
        <w:rPr>
          <w:rFonts w:ascii="微軟正黑體" w:eastAsia="微軟正黑體" w:hAnsi="微軟正黑體"/>
          <w:color w:val="000000" w:themeColor="text1"/>
          <w:szCs w:val="24"/>
        </w:rPr>
      </w:pPr>
    </w:p>
    <w:p w:rsidR="00124B29" w:rsidRPr="009622C2" w:rsidRDefault="00124B29" w:rsidP="00A4241C">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空運商品</w:t>
      </w:r>
    </w:p>
    <w:p w:rsidR="00467E1F" w:rsidRPr="009622C2" w:rsidRDefault="00476443" w:rsidP="00A4241C">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主要空運商品的指數皆比上一季上升。食物及飲料的指數於2021年第二季為最高，鐘錶及首飾則錄得最大升幅。</w:t>
      </w:r>
    </w:p>
    <w:p w:rsidR="00AF65D7" w:rsidRPr="009622C2" w:rsidRDefault="00AF65D7" w:rsidP="00A4241C">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lang w:eastAsia="zh-HK"/>
        </w:rPr>
      </w:pPr>
      <w:r w:rsidRPr="009622C2">
        <w:rPr>
          <w:rFonts w:ascii="微軟正黑體" w:eastAsia="微軟正黑體" w:hAnsi="微軟正黑體" w:hint="eastAsia"/>
          <w:b/>
          <w:color w:val="000000" w:themeColor="text1"/>
          <w:szCs w:val="24"/>
          <w:lang w:eastAsia="zh-HK"/>
        </w:rPr>
        <w:t>食物及飲料</w:t>
      </w:r>
      <w:r w:rsidRPr="009622C2">
        <w:rPr>
          <w:rFonts w:ascii="微軟正黑體" w:eastAsia="微軟正黑體" w:hAnsi="微軟正黑體" w:hint="eastAsia"/>
          <w:color w:val="000000" w:themeColor="text1"/>
          <w:szCs w:val="24"/>
          <w:lang w:eastAsia="zh-HK"/>
        </w:rPr>
        <w:t>指數上升9點至44點，仍然是大部份季度中表現最佳的商品。</w:t>
      </w:r>
    </w:p>
    <w:p w:rsidR="00476443" w:rsidRPr="009622C2" w:rsidRDefault="00476443" w:rsidP="00476443">
      <w:pPr>
        <w:jc w:val="both"/>
        <w:rPr>
          <w:rFonts w:ascii="微軟正黑體" w:eastAsia="微軟正黑體" w:hAnsi="微軟正黑體"/>
          <w:color w:val="000000" w:themeColor="text1"/>
          <w:szCs w:val="24"/>
          <w:lang w:eastAsia="zh-HK"/>
        </w:rPr>
      </w:pPr>
    </w:p>
    <w:p w:rsidR="00476443" w:rsidRPr="009622C2" w:rsidRDefault="00476443" w:rsidP="00476443">
      <w:pPr>
        <w:jc w:val="both"/>
        <w:rPr>
          <w:rFonts w:ascii="微軟正黑體" w:eastAsia="微軟正黑體" w:hAnsi="微軟正黑體"/>
          <w:color w:val="000000" w:themeColor="text1"/>
          <w:szCs w:val="24"/>
          <w:lang w:eastAsia="zh-HK"/>
        </w:rPr>
      </w:pPr>
      <w:r w:rsidRPr="009622C2">
        <w:rPr>
          <w:rFonts w:ascii="微軟正黑體" w:eastAsia="微軟正黑體" w:hAnsi="微軟正黑體" w:hint="eastAsia"/>
          <w:b/>
          <w:color w:val="000000" w:themeColor="text1"/>
          <w:szCs w:val="24"/>
          <w:lang w:eastAsia="zh-HK"/>
        </w:rPr>
        <w:t>鐘錶及首飾</w:t>
      </w:r>
      <w:r w:rsidRPr="009622C2">
        <w:rPr>
          <w:rFonts w:ascii="微軟正黑體" w:eastAsia="微軟正黑體" w:hAnsi="微軟正黑體" w:hint="eastAsia"/>
          <w:color w:val="000000" w:themeColor="text1"/>
          <w:szCs w:val="24"/>
          <w:lang w:eastAsia="zh-HK"/>
        </w:rPr>
        <w:t>指數在美洲地區的強勁反彈下，大升11點至40點。</w:t>
      </w:r>
    </w:p>
    <w:p w:rsidR="00476443" w:rsidRPr="009622C2" w:rsidRDefault="00476443" w:rsidP="00476443">
      <w:pPr>
        <w:jc w:val="both"/>
        <w:rPr>
          <w:rFonts w:ascii="微軟正黑體" w:eastAsia="微軟正黑體" w:hAnsi="微軟正黑體"/>
          <w:color w:val="000000" w:themeColor="text1"/>
          <w:szCs w:val="24"/>
          <w:lang w:eastAsia="zh-HK"/>
        </w:rPr>
      </w:pPr>
    </w:p>
    <w:p w:rsidR="00476443" w:rsidRPr="009622C2" w:rsidRDefault="00476443" w:rsidP="00476443">
      <w:pPr>
        <w:jc w:val="both"/>
        <w:rPr>
          <w:rFonts w:ascii="微軟正黑體" w:eastAsia="微軟正黑體" w:hAnsi="微軟正黑體"/>
          <w:color w:val="000000" w:themeColor="text1"/>
          <w:szCs w:val="24"/>
          <w:lang w:eastAsia="zh-HK"/>
        </w:rPr>
      </w:pPr>
      <w:r w:rsidRPr="009622C2">
        <w:rPr>
          <w:rFonts w:ascii="微軟正黑體" w:eastAsia="微軟正黑體" w:hAnsi="微軟正黑體" w:hint="eastAsia"/>
          <w:b/>
          <w:color w:val="000000" w:themeColor="text1"/>
          <w:szCs w:val="24"/>
          <w:lang w:eastAsia="zh-HK"/>
        </w:rPr>
        <w:t>電子產品及部件</w:t>
      </w:r>
      <w:r w:rsidRPr="009622C2">
        <w:rPr>
          <w:rFonts w:ascii="微軟正黑體" w:eastAsia="微軟正黑體" w:hAnsi="微軟正黑體" w:hint="eastAsia"/>
          <w:color w:val="000000" w:themeColor="text1"/>
          <w:szCs w:val="24"/>
          <w:lang w:eastAsia="zh-HK"/>
        </w:rPr>
        <w:t>指數經歷上季的回落後，本季反升7點至39點，增長源自歐洲及中國內地。</w:t>
      </w:r>
    </w:p>
    <w:p w:rsidR="00476443" w:rsidRPr="009622C2" w:rsidRDefault="00476443" w:rsidP="00476443">
      <w:pPr>
        <w:jc w:val="both"/>
        <w:rPr>
          <w:rFonts w:ascii="微軟正黑體" w:eastAsia="微軟正黑體" w:hAnsi="微軟正黑體"/>
          <w:color w:val="000000" w:themeColor="text1"/>
          <w:szCs w:val="24"/>
          <w:lang w:eastAsia="zh-HK"/>
        </w:rPr>
      </w:pPr>
    </w:p>
    <w:p w:rsidR="00476443" w:rsidRPr="009622C2" w:rsidRDefault="00476443" w:rsidP="00476443">
      <w:pPr>
        <w:jc w:val="both"/>
        <w:rPr>
          <w:rFonts w:ascii="微軟正黑體" w:eastAsia="微軟正黑體" w:hAnsi="微軟正黑體"/>
          <w:color w:val="000000" w:themeColor="text1"/>
          <w:szCs w:val="24"/>
          <w:lang w:eastAsia="zh-HK"/>
        </w:rPr>
      </w:pPr>
      <w:r w:rsidRPr="009622C2">
        <w:rPr>
          <w:rFonts w:ascii="微軟正黑體" w:eastAsia="微軟正黑體" w:hAnsi="微軟正黑體" w:hint="eastAsia"/>
          <w:b/>
          <w:color w:val="000000" w:themeColor="text1"/>
          <w:szCs w:val="24"/>
          <w:lang w:eastAsia="zh-HK"/>
        </w:rPr>
        <w:t>禮品、玩具及家庭用品</w:t>
      </w:r>
      <w:r w:rsidRPr="009622C2">
        <w:rPr>
          <w:rFonts w:ascii="微軟正黑體" w:eastAsia="微軟正黑體" w:hAnsi="微軟正黑體" w:hint="eastAsia"/>
          <w:color w:val="000000" w:themeColor="text1"/>
          <w:szCs w:val="24"/>
          <w:lang w:eastAsia="zh-HK"/>
        </w:rPr>
        <w:t>指數受歐洲及日本地區的需求帶動，微升2點至36點。</w:t>
      </w:r>
    </w:p>
    <w:p w:rsidR="00476443" w:rsidRPr="009622C2" w:rsidRDefault="00476443" w:rsidP="00476443">
      <w:pPr>
        <w:jc w:val="both"/>
        <w:rPr>
          <w:rFonts w:ascii="微軟正黑體" w:eastAsia="微軟正黑體" w:hAnsi="微軟正黑體"/>
          <w:color w:val="000000" w:themeColor="text1"/>
          <w:szCs w:val="24"/>
          <w:lang w:eastAsia="zh-HK"/>
        </w:rPr>
      </w:pPr>
    </w:p>
    <w:p w:rsidR="00467E1F" w:rsidRPr="009622C2" w:rsidRDefault="00476443" w:rsidP="00476443">
      <w:pPr>
        <w:jc w:val="both"/>
        <w:rPr>
          <w:rFonts w:ascii="微軟正黑體" w:eastAsia="微軟正黑體" w:hAnsi="微軟正黑體"/>
          <w:color w:val="000000" w:themeColor="text1"/>
          <w:szCs w:val="24"/>
          <w:lang w:eastAsia="zh-HK"/>
        </w:rPr>
      </w:pPr>
      <w:r w:rsidRPr="009622C2">
        <w:rPr>
          <w:rFonts w:ascii="微軟正黑體" w:eastAsia="微軟正黑體" w:hAnsi="微軟正黑體" w:hint="eastAsia"/>
          <w:b/>
          <w:color w:val="000000" w:themeColor="text1"/>
          <w:szCs w:val="24"/>
          <w:lang w:eastAsia="zh-HK"/>
        </w:rPr>
        <w:t>衣飾</w:t>
      </w:r>
      <w:r w:rsidRPr="009622C2">
        <w:rPr>
          <w:rFonts w:ascii="微軟正黑體" w:eastAsia="微軟正黑體" w:hAnsi="微軟正黑體" w:hint="eastAsia"/>
          <w:color w:val="000000" w:themeColor="text1"/>
          <w:szCs w:val="24"/>
          <w:lang w:eastAsia="zh-HK"/>
        </w:rPr>
        <w:t>指數受到歐洲出口及入口的支持，上升6點至35點。</w:t>
      </w:r>
    </w:p>
    <w:p w:rsidR="0070685F" w:rsidRPr="009622C2" w:rsidRDefault="0070685F" w:rsidP="00AF65D7">
      <w:pPr>
        <w:jc w:val="both"/>
        <w:rPr>
          <w:rFonts w:ascii="微軟正黑體" w:eastAsia="微軟正黑體" w:hAnsi="微軟正黑體"/>
          <w:color w:val="000000" w:themeColor="text1"/>
          <w:szCs w:val="24"/>
          <w:lang w:eastAsia="zh-HK"/>
        </w:rPr>
      </w:pPr>
    </w:p>
    <w:p w:rsidR="00AA1E16" w:rsidRPr="009622C2" w:rsidRDefault="00AA1E16" w:rsidP="00AA1E16">
      <w:pPr>
        <w:jc w:val="both"/>
        <w:rPr>
          <w:rFonts w:ascii="微軟正黑體" w:eastAsia="微軟正黑體" w:hAnsi="微軟正黑體"/>
          <w:color w:val="000000" w:themeColor="text1"/>
          <w:szCs w:val="24"/>
          <w:lang w:eastAsia="zh-HK"/>
        </w:rPr>
      </w:pPr>
    </w:p>
    <w:p w:rsidR="00124B29" w:rsidRPr="009622C2" w:rsidRDefault="00124B29"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近期市場消息對空運貿易的影響</w:t>
      </w:r>
    </w:p>
    <w:p w:rsidR="00467E1F" w:rsidRPr="009622C2" w:rsidRDefault="00476443"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新一任美國總統正式就任後，受訪者對中美貿易關係抱比較正面期望。儘管因為部份市場因素令運輸成本增加，市場對國際空運及船運的需求仍然強勁。</w:t>
      </w:r>
    </w:p>
    <w:p w:rsidR="00220154" w:rsidRPr="009622C2" w:rsidRDefault="00220154" w:rsidP="003A51DD">
      <w:pPr>
        <w:jc w:val="both"/>
        <w:rPr>
          <w:rFonts w:ascii="微軟正黑體" w:eastAsia="微軟正黑體" w:hAnsi="微軟正黑體"/>
          <w:color w:val="000000" w:themeColor="text1"/>
          <w:szCs w:val="24"/>
        </w:rPr>
      </w:pPr>
    </w:p>
    <w:p w:rsidR="008E4EDC" w:rsidRPr="009622C2" w:rsidRDefault="00476443" w:rsidP="008E4EDC">
      <w:pPr>
        <w:widowControl/>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美國總統拜登於今年一月就任，23%受訪者預期對國際貿易帶來正面影響，60%認為沒有影響，16%預期影響負面。在這方面持樂觀態度的受訪者比例在過去數季持續增加。</w:t>
      </w:r>
    </w:p>
    <w:p w:rsidR="00467E1F" w:rsidRPr="009622C2" w:rsidRDefault="00467E1F" w:rsidP="008E4EDC">
      <w:pPr>
        <w:widowControl/>
        <w:jc w:val="both"/>
        <w:rPr>
          <w:rFonts w:ascii="微軟正黑體" w:eastAsia="微軟正黑體" w:hAnsi="微軟正黑體"/>
          <w:color w:val="000000" w:themeColor="text1"/>
          <w:szCs w:val="24"/>
        </w:rPr>
      </w:pPr>
      <w:bookmarkStart w:id="0" w:name="_GoBack"/>
      <w:bookmarkEnd w:id="0"/>
    </w:p>
    <w:p w:rsidR="00467E1F" w:rsidRPr="009622C2" w:rsidRDefault="00476443" w:rsidP="00467E1F">
      <w:pPr>
        <w:widowControl/>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儘管新型冠狀病毒疫情反覆，每季度表現仍持續改善。2021年首季，錄得虧損的空運用家進一步減少，而錄得收支平衡的比例多於虧損。錄得盈餘的空運用家持續穩定。</w:t>
      </w:r>
    </w:p>
    <w:p w:rsidR="00467E1F" w:rsidRPr="009622C2" w:rsidRDefault="00467E1F" w:rsidP="00467E1F">
      <w:pPr>
        <w:widowControl/>
        <w:jc w:val="both"/>
        <w:rPr>
          <w:rFonts w:ascii="微軟正黑體" w:eastAsia="微軟正黑體" w:hAnsi="微軟正黑體"/>
          <w:color w:val="000000" w:themeColor="text1"/>
          <w:szCs w:val="24"/>
        </w:rPr>
      </w:pPr>
    </w:p>
    <w:p w:rsidR="00467E1F" w:rsidRPr="009622C2" w:rsidRDefault="00476443" w:rsidP="008E4EDC">
      <w:pPr>
        <w:widowControl/>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受香港收緊來港機組人員方面的檢疫政策及年初歐美的惡劣天氣的影響，空運及海運的載運供應緊張。這令運輸成本上升，但70%空運用家仍然選擇承擔額外的成本，未有選用香港以外的出口地、減少出口或延遲出貨。</w:t>
      </w:r>
    </w:p>
    <w:p w:rsidR="00467E1F" w:rsidRPr="009622C2" w:rsidRDefault="00467E1F" w:rsidP="008E4EDC">
      <w:pPr>
        <w:widowControl/>
        <w:jc w:val="both"/>
        <w:rPr>
          <w:rFonts w:ascii="微軟正黑體" w:eastAsia="微軟正黑體" w:hAnsi="微軟正黑體"/>
          <w:color w:val="000000" w:themeColor="text1"/>
          <w:szCs w:val="24"/>
        </w:rPr>
      </w:pPr>
    </w:p>
    <w:p w:rsidR="00467E1F" w:rsidRPr="009622C2" w:rsidRDefault="00476443" w:rsidP="008E4EDC">
      <w:pPr>
        <w:widowControl/>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英國脫歐於2021年1月1日正式生效，從此英國與歐洲之間的清關程序改變，令雙方貿易往來下降。雖然本季有40%受訪者主攻歐洲市場，當中僅3%認為後英國脫歐時代會是一個機會，22%則預期有負面影響。整體而言，76%認為對業務沒有影響。</w:t>
      </w:r>
    </w:p>
    <w:p w:rsidR="00467E1F" w:rsidRPr="009622C2" w:rsidRDefault="00467E1F" w:rsidP="008E4EDC">
      <w:pPr>
        <w:widowControl/>
        <w:jc w:val="both"/>
        <w:rPr>
          <w:rFonts w:ascii="微軟正黑體" w:eastAsia="微軟正黑體" w:hAnsi="微軟正黑體"/>
          <w:color w:val="000000" w:themeColor="text1"/>
          <w:szCs w:val="24"/>
        </w:rPr>
      </w:pPr>
    </w:p>
    <w:p w:rsidR="004664BC" w:rsidRPr="009622C2" w:rsidRDefault="004664BC">
      <w:pPr>
        <w:widowControl/>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註：由於四捨五入，數字相加後未必等於100%。</w:t>
      </w:r>
    </w:p>
    <w:p w:rsidR="004664BC" w:rsidRPr="009622C2" w:rsidRDefault="004664BC">
      <w:pPr>
        <w:widowControl/>
        <w:rPr>
          <w:rFonts w:ascii="微軟正黑體" w:eastAsia="微軟正黑體" w:hAnsi="微軟正黑體"/>
          <w:b/>
          <w:color w:val="000000" w:themeColor="text1"/>
          <w:szCs w:val="24"/>
        </w:rPr>
      </w:pPr>
      <w:r w:rsidRPr="009622C2">
        <w:rPr>
          <w:rFonts w:ascii="微軟正黑體" w:eastAsia="微軟正黑體" w:hAnsi="微軟正黑體"/>
          <w:b/>
          <w:color w:val="000000" w:themeColor="text1"/>
          <w:szCs w:val="24"/>
        </w:rPr>
        <w:br w:type="page"/>
      </w:r>
    </w:p>
    <w:p w:rsidR="00124B29" w:rsidRPr="009622C2" w:rsidRDefault="00124B29" w:rsidP="00124B29">
      <w:pPr>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lastRenderedPageBreak/>
        <w:t>關於香港生產力促進局</w:t>
      </w: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和企業4.0的專家，領導香港再工業化的發展，專注科技研發、物聯網、大數據分析、人工智能和機械人技術、智能製造等先進領域，加強工商界的業務績效、降低運營成本、提高生產力和增強競爭力。</w:t>
      </w:r>
    </w:p>
    <w:p w:rsidR="00476443" w:rsidRPr="009622C2" w:rsidRDefault="00476443" w:rsidP="00476443">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w:t>
      </w:r>
    </w:p>
    <w:p w:rsidR="00476443" w:rsidRPr="009622C2" w:rsidRDefault="00476443" w:rsidP="00476443">
      <w:pPr>
        <w:jc w:val="both"/>
        <w:rPr>
          <w:rFonts w:ascii="微軟正黑體" w:eastAsia="微軟正黑體" w:hAnsi="微軟正黑體"/>
          <w:color w:val="000000" w:themeColor="text1"/>
          <w:szCs w:val="24"/>
        </w:rPr>
      </w:pPr>
    </w:p>
    <w:p w:rsidR="00476443"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此外，生產力局積極與本地工商界合作，開發應用技術方案，為產業創優增值。透過產品創新和技術轉移，成功推出多種由市場主導的專利技術和產品，發掘本地和國際市場在授權和技術轉移服務中的龐大商機。</w:t>
      </w:r>
    </w:p>
    <w:p w:rsidR="00476443" w:rsidRPr="009622C2" w:rsidRDefault="00476443" w:rsidP="00476443">
      <w:pPr>
        <w:jc w:val="both"/>
        <w:rPr>
          <w:rFonts w:ascii="微軟正黑體" w:eastAsia="微軟正黑體" w:hAnsi="微軟正黑體"/>
          <w:color w:val="000000" w:themeColor="text1"/>
          <w:szCs w:val="24"/>
        </w:rPr>
      </w:pPr>
    </w:p>
    <w:p w:rsidR="00CB5400" w:rsidRPr="009622C2" w:rsidRDefault="00476443" w:rsidP="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如欲了解更多詳情，請瀏覽生產力局網頁：www.hkpc.org。</w:t>
      </w:r>
    </w:p>
    <w:p w:rsidR="00B2247E" w:rsidRPr="009622C2" w:rsidRDefault="00B2247E" w:rsidP="00B2247E">
      <w:pPr>
        <w:jc w:val="both"/>
        <w:rPr>
          <w:rFonts w:ascii="微軟正黑體" w:eastAsia="微軟正黑體" w:hAnsi="微軟正黑體"/>
          <w:color w:val="000000" w:themeColor="text1"/>
          <w:szCs w:val="24"/>
        </w:rPr>
      </w:pPr>
    </w:p>
    <w:p w:rsidR="00124B29" w:rsidRPr="009622C2" w:rsidRDefault="00124B29"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查詢</w:t>
      </w:r>
    </w:p>
    <w:p w:rsidR="00861671" w:rsidRPr="009622C2" w:rsidRDefault="00476443" w:rsidP="003A51DD">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查詢有關本指數的詳情，請與生產力局聯絡，電話：2788 5306。</w:t>
      </w:r>
    </w:p>
    <w:p w:rsidR="00476443" w:rsidRPr="009622C2" w:rsidRDefault="00476443" w:rsidP="003A51DD">
      <w:pPr>
        <w:jc w:val="both"/>
        <w:rPr>
          <w:rFonts w:ascii="微軟正黑體" w:eastAsia="微軟正黑體" w:hAnsi="微軟正黑體"/>
          <w:color w:val="000000" w:themeColor="text1"/>
          <w:szCs w:val="24"/>
        </w:rPr>
      </w:pPr>
    </w:p>
    <w:p w:rsidR="00124B29" w:rsidRPr="009622C2" w:rsidRDefault="00124B29" w:rsidP="003A51DD">
      <w:pPr>
        <w:jc w:val="both"/>
        <w:rPr>
          <w:rFonts w:ascii="微軟正黑體" w:eastAsia="微軟正黑體" w:hAnsi="微軟正黑體"/>
          <w:b/>
          <w:color w:val="000000" w:themeColor="text1"/>
          <w:szCs w:val="24"/>
        </w:rPr>
      </w:pPr>
      <w:r w:rsidRPr="009622C2">
        <w:rPr>
          <w:rFonts w:ascii="微軟正黑體" w:eastAsia="微軟正黑體" w:hAnsi="微軟正黑體" w:hint="eastAsia"/>
          <w:b/>
          <w:color w:val="000000" w:themeColor="text1"/>
          <w:szCs w:val="24"/>
        </w:rPr>
        <w:t>聲明</w:t>
      </w:r>
    </w:p>
    <w:p w:rsidR="00476443" w:rsidRPr="009622C2" w:rsidRDefault="00476443">
      <w:pPr>
        <w:jc w:val="both"/>
        <w:rPr>
          <w:rFonts w:ascii="微軟正黑體" w:eastAsia="微軟正黑體" w:hAnsi="微軟正黑體"/>
          <w:color w:val="000000" w:themeColor="text1"/>
          <w:szCs w:val="24"/>
        </w:rPr>
      </w:pPr>
      <w:r w:rsidRPr="009622C2">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476443" w:rsidRPr="009622C2"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9A0" w:rsidRDefault="00AB09A0" w:rsidP="007655C2">
      <w:pPr>
        <w:spacing w:line="240" w:lineRule="auto"/>
      </w:pPr>
      <w:r>
        <w:separator/>
      </w:r>
    </w:p>
  </w:endnote>
  <w:endnote w:type="continuationSeparator" w:id="0">
    <w:p w:rsidR="00AB09A0" w:rsidRDefault="00AB09A0"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9A0" w:rsidRDefault="00AB09A0" w:rsidP="007655C2">
      <w:pPr>
        <w:spacing w:line="240" w:lineRule="auto"/>
      </w:pPr>
      <w:r>
        <w:separator/>
      </w:r>
    </w:p>
  </w:footnote>
  <w:footnote w:type="continuationSeparator" w:id="0">
    <w:p w:rsidR="00AB09A0" w:rsidRDefault="00AB09A0"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6890"/>
    <w:rsid w:val="001275E0"/>
    <w:rsid w:val="00197F40"/>
    <w:rsid w:val="001A2E92"/>
    <w:rsid w:val="001B5B08"/>
    <w:rsid w:val="00220154"/>
    <w:rsid w:val="00260D34"/>
    <w:rsid w:val="00262339"/>
    <w:rsid w:val="002811A9"/>
    <w:rsid w:val="00281CA6"/>
    <w:rsid w:val="002959CC"/>
    <w:rsid w:val="002E7590"/>
    <w:rsid w:val="003238E6"/>
    <w:rsid w:val="003620DE"/>
    <w:rsid w:val="00366781"/>
    <w:rsid w:val="00370CBC"/>
    <w:rsid w:val="003A51DD"/>
    <w:rsid w:val="003C3B29"/>
    <w:rsid w:val="003C5D62"/>
    <w:rsid w:val="003E6E9D"/>
    <w:rsid w:val="00444138"/>
    <w:rsid w:val="00451839"/>
    <w:rsid w:val="004664BC"/>
    <w:rsid w:val="00467E1F"/>
    <w:rsid w:val="00476443"/>
    <w:rsid w:val="00476C9B"/>
    <w:rsid w:val="00497385"/>
    <w:rsid w:val="004A1A9C"/>
    <w:rsid w:val="004D0336"/>
    <w:rsid w:val="00515782"/>
    <w:rsid w:val="00521733"/>
    <w:rsid w:val="00523D60"/>
    <w:rsid w:val="005575AF"/>
    <w:rsid w:val="00592D90"/>
    <w:rsid w:val="005F310D"/>
    <w:rsid w:val="006103BD"/>
    <w:rsid w:val="00616462"/>
    <w:rsid w:val="0065612E"/>
    <w:rsid w:val="00670688"/>
    <w:rsid w:val="00693F02"/>
    <w:rsid w:val="006A2864"/>
    <w:rsid w:val="0070685F"/>
    <w:rsid w:val="00714F44"/>
    <w:rsid w:val="007163A4"/>
    <w:rsid w:val="007655C2"/>
    <w:rsid w:val="0078137D"/>
    <w:rsid w:val="00785C29"/>
    <w:rsid w:val="007B0722"/>
    <w:rsid w:val="007E1207"/>
    <w:rsid w:val="007E62A6"/>
    <w:rsid w:val="00811DA4"/>
    <w:rsid w:val="00840AE2"/>
    <w:rsid w:val="00861671"/>
    <w:rsid w:val="00874C21"/>
    <w:rsid w:val="00877E8D"/>
    <w:rsid w:val="00881122"/>
    <w:rsid w:val="00896D88"/>
    <w:rsid w:val="008974E8"/>
    <w:rsid w:val="008C53CC"/>
    <w:rsid w:val="008D1179"/>
    <w:rsid w:val="008E4EDC"/>
    <w:rsid w:val="008E5264"/>
    <w:rsid w:val="008F7D5D"/>
    <w:rsid w:val="009156F1"/>
    <w:rsid w:val="00930879"/>
    <w:rsid w:val="00943099"/>
    <w:rsid w:val="009622C2"/>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1E16"/>
    <w:rsid w:val="00AA29D8"/>
    <w:rsid w:val="00AA55A7"/>
    <w:rsid w:val="00AB09A0"/>
    <w:rsid w:val="00AF65D7"/>
    <w:rsid w:val="00B2247E"/>
    <w:rsid w:val="00B26F1D"/>
    <w:rsid w:val="00B447BA"/>
    <w:rsid w:val="00B66CD4"/>
    <w:rsid w:val="00C03FC1"/>
    <w:rsid w:val="00C51F89"/>
    <w:rsid w:val="00C600B0"/>
    <w:rsid w:val="00CA33B2"/>
    <w:rsid w:val="00CB5400"/>
    <w:rsid w:val="00D0732C"/>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C0577"/>
    <w:rsid w:val="00ED1FAF"/>
    <w:rsid w:val="00F04785"/>
    <w:rsid w:val="00F1251D"/>
    <w:rsid w:val="00F45B59"/>
    <w:rsid w:val="00F95643"/>
    <w:rsid w:val="00FB4D5B"/>
    <w:rsid w:val="00FC3B5E"/>
    <w:rsid w:val="00FE5066"/>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6</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103</cp:revision>
  <cp:lastPrinted>2018-11-05T04:33:00Z</cp:lastPrinted>
  <dcterms:created xsi:type="dcterms:W3CDTF">2015-11-13T04:04:00Z</dcterms:created>
  <dcterms:modified xsi:type="dcterms:W3CDTF">2021-04-19T02:46:00Z</dcterms:modified>
</cp:coreProperties>
</file>