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B29" w:rsidRPr="009622C2" w:rsidRDefault="00124B29" w:rsidP="00124B29">
      <w:pPr>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DHL 香港空運貿易領先指數 (DTI)</w:t>
      </w:r>
    </w:p>
    <w:p w:rsidR="00124B29" w:rsidRPr="00D36F36" w:rsidRDefault="007655C2" w:rsidP="00124B29">
      <w:pPr>
        <w:rPr>
          <w:rFonts w:ascii="微軟正黑體" w:eastAsia="微軟正黑體" w:hAnsi="微軟正黑體"/>
          <w:b/>
          <w:color w:val="000000" w:themeColor="text1"/>
          <w:szCs w:val="24"/>
        </w:rPr>
      </w:pPr>
      <w:r w:rsidRPr="00D36F36">
        <w:rPr>
          <w:rFonts w:ascii="微軟正黑體" w:eastAsia="微軟正黑體" w:hAnsi="微軟正黑體" w:hint="eastAsia"/>
          <w:b/>
          <w:color w:val="000000" w:themeColor="text1"/>
          <w:szCs w:val="24"/>
        </w:rPr>
        <w:t>20</w:t>
      </w:r>
      <w:r w:rsidR="00B2247E" w:rsidRPr="00D36F36">
        <w:rPr>
          <w:rFonts w:ascii="微軟正黑體" w:eastAsia="微軟正黑體" w:hAnsi="微軟正黑體"/>
          <w:b/>
          <w:color w:val="000000" w:themeColor="text1"/>
          <w:szCs w:val="24"/>
        </w:rPr>
        <w:t>2</w:t>
      </w:r>
      <w:r w:rsidR="003E6E9D" w:rsidRPr="00D36F36">
        <w:rPr>
          <w:rFonts w:ascii="微軟正黑體" w:eastAsia="微軟正黑體" w:hAnsi="微軟正黑體"/>
          <w:b/>
          <w:color w:val="000000" w:themeColor="text1"/>
          <w:szCs w:val="24"/>
        </w:rPr>
        <w:t>1</w:t>
      </w:r>
      <w:r w:rsidRPr="00D36F36">
        <w:rPr>
          <w:rFonts w:ascii="微軟正黑體" w:eastAsia="微軟正黑體" w:hAnsi="微軟正黑體" w:hint="eastAsia"/>
          <w:b/>
          <w:color w:val="000000" w:themeColor="text1"/>
          <w:szCs w:val="24"/>
        </w:rPr>
        <w:t>年第</w:t>
      </w:r>
      <w:r w:rsidR="009172F6" w:rsidRPr="00D36F36">
        <w:rPr>
          <w:rFonts w:ascii="微軟正黑體" w:eastAsia="微軟正黑體" w:hAnsi="微軟正黑體" w:hint="eastAsia"/>
          <w:b/>
          <w:color w:val="000000" w:themeColor="text1"/>
          <w:szCs w:val="24"/>
        </w:rPr>
        <w:t>三</w:t>
      </w:r>
      <w:r w:rsidRPr="00D36F36">
        <w:rPr>
          <w:rFonts w:ascii="微軟正黑體" w:eastAsia="微軟正黑體" w:hAnsi="微軟正黑體" w:hint="eastAsia"/>
          <w:b/>
          <w:color w:val="000000" w:themeColor="text1"/>
          <w:szCs w:val="24"/>
        </w:rPr>
        <w:t>季度報告</w:t>
      </w:r>
    </w:p>
    <w:p w:rsidR="007655C2" w:rsidRPr="009622C2" w:rsidRDefault="007655C2" w:rsidP="00124B29">
      <w:pPr>
        <w:rPr>
          <w:rFonts w:ascii="微軟正黑體" w:eastAsia="微軟正黑體" w:hAnsi="微軟正黑體"/>
          <w:color w:val="000000" w:themeColor="text1"/>
          <w:szCs w:val="24"/>
        </w:rPr>
      </w:pPr>
    </w:p>
    <w:p w:rsidR="00F04785" w:rsidRPr="009622C2" w:rsidRDefault="00F04785" w:rsidP="007163A4">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Express（香港）委託香港生產力促進局獨立進行，旨在收集及測量空運用家對未來空運的展望，並以指數的形式發表。詳情請瀏覽u.hkpc.org/dti_cn 查詢。</w:t>
      </w:r>
    </w:p>
    <w:p w:rsidR="00124B29" w:rsidRPr="009622C2" w:rsidRDefault="00124B29" w:rsidP="007163A4">
      <w:pPr>
        <w:jc w:val="both"/>
        <w:rPr>
          <w:rFonts w:ascii="微軟正黑體" w:eastAsia="微軟正黑體" w:hAnsi="微軟正黑體"/>
          <w:color w:val="000000" w:themeColor="text1"/>
          <w:szCs w:val="24"/>
          <w:lang w:eastAsia="zh-HK"/>
        </w:rPr>
      </w:pPr>
    </w:p>
    <w:p w:rsidR="00124B29" w:rsidRPr="009622C2" w:rsidRDefault="00124B29" w:rsidP="007163A4">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摘要</w:t>
      </w: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香港是亞洲主要的地區及航運樞紐之一，而香港國際機場的國際貨運吞吐量更享譽全球。香港空貿行業蓬勃，每年為本港帶來超過港幣1,500億元總收入，當中370億元為貨運收入，並製造近29,000個就業機會(1)。</w:t>
      </w:r>
    </w:p>
    <w:p w:rsidR="00B2247E" w:rsidRPr="008A36F7" w:rsidRDefault="00B2247E" w:rsidP="00B2247E">
      <w:pPr>
        <w:jc w:val="both"/>
        <w:rPr>
          <w:rFonts w:ascii="微軟正黑體" w:eastAsia="微軟正黑體" w:hAnsi="微軟正黑體"/>
          <w:color w:val="000000" w:themeColor="text1"/>
          <w:szCs w:val="24"/>
        </w:rPr>
      </w:pP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rsidR="00B2247E" w:rsidRPr="009622C2" w:rsidRDefault="00B2247E" w:rsidP="00B2247E">
      <w:pPr>
        <w:jc w:val="both"/>
        <w:rPr>
          <w:rFonts w:ascii="微軟正黑體" w:eastAsia="微軟正黑體" w:hAnsi="微軟正黑體"/>
          <w:color w:val="000000" w:themeColor="text1"/>
          <w:szCs w:val="24"/>
        </w:rPr>
      </w:pP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rsidR="00B2247E" w:rsidRPr="009622C2" w:rsidRDefault="00B2247E" w:rsidP="00B2247E">
      <w:pPr>
        <w:jc w:val="both"/>
        <w:rPr>
          <w:rFonts w:ascii="微軟正黑體" w:eastAsia="微軟正黑體" w:hAnsi="微軟正黑體"/>
          <w:color w:val="000000" w:themeColor="text1"/>
          <w:szCs w:val="24"/>
        </w:rPr>
      </w:pP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「DHL 香港空運貿易領先指數」（DTI）是香港首個供公眾參閱的空運貿易指數，為需要更多資源及市場資訊的本地中小企及企業提供市場情報和發展趨勢。</w:t>
      </w:r>
    </w:p>
    <w:p w:rsidR="00B2247E" w:rsidRPr="009622C2" w:rsidRDefault="00B2247E" w:rsidP="00B2247E">
      <w:pPr>
        <w:jc w:val="both"/>
        <w:rPr>
          <w:rFonts w:ascii="微軟正黑體" w:eastAsia="微軟正黑體" w:hAnsi="微軟正黑體"/>
          <w:color w:val="000000" w:themeColor="text1"/>
          <w:szCs w:val="24"/>
        </w:rPr>
      </w:pPr>
    </w:p>
    <w:p w:rsidR="00124B29"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首個DHL香港空運貿易領先指數調查於2014年第二季度展開，並定期按季度向公眾發表。</w:t>
      </w:r>
    </w:p>
    <w:p w:rsidR="00F04785" w:rsidRPr="009622C2" w:rsidRDefault="00F04785" w:rsidP="007163A4">
      <w:pPr>
        <w:jc w:val="both"/>
        <w:rPr>
          <w:rFonts w:ascii="微軟正黑體" w:eastAsia="微軟正黑體" w:hAnsi="微軟正黑體"/>
          <w:color w:val="000000" w:themeColor="text1"/>
          <w:szCs w:val="24"/>
        </w:rPr>
      </w:pPr>
    </w:p>
    <w:p w:rsidR="00124B29" w:rsidRPr="009622C2" w:rsidRDefault="00124B29" w:rsidP="007163A4">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研究方法</w:t>
      </w:r>
    </w:p>
    <w:p w:rsidR="00124B29" w:rsidRPr="009622C2" w:rsidRDefault="00B2247E" w:rsidP="007163A4">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指數計算方法: 指數 = [100 x (受訪者中回答「增加」的樣本比例) ] + [50 x (受訪者中回答「不變」的樣本比例) ] + [0 x (受訪者中回答「減少」的樣本比例) ]</w:t>
      </w:r>
    </w:p>
    <w:p w:rsidR="00B2247E" w:rsidRPr="009622C2" w:rsidRDefault="00B2247E" w:rsidP="007163A4">
      <w:pPr>
        <w:jc w:val="both"/>
        <w:rPr>
          <w:rFonts w:ascii="微軟正黑體" w:eastAsia="微軟正黑體" w:hAnsi="微軟正黑體"/>
          <w:color w:val="000000" w:themeColor="text1"/>
          <w:szCs w:val="24"/>
        </w:rPr>
      </w:pPr>
    </w:p>
    <w:p w:rsidR="00124B29" w:rsidRPr="009622C2" w:rsidRDefault="00124B29" w:rsidP="007163A4">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指數導讀</w:t>
      </w: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指數顯示50以上代表正面的前景展望，指數在50以下則代表負面的前景展望。</w:t>
      </w:r>
    </w:p>
    <w:p w:rsidR="00370CBC"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指數距離50愈遠，表示對前景的展望愈見正面或負面。</w:t>
      </w:r>
    </w:p>
    <w:p w:rsidR="00B2247E" w:rsidRPr="009622C2" w:rsidRDefault="00B2247E" w:rsidP="00B2247E">
      <w:pPr>
        <w:jc w:val="both"/>
        <w:rPr>
          <w:rFonts w:ascii="微軟正黑體" w:eastAsia="微軟正黑體" w:hAnsi="微軟正黑體"/>
          <w:color w:val="000000" w:themeColor="text1"/>
          <w:szCs w:val="24"/>
        </w:rPr>
      </w:pPr>
    </w:p>
    <w:p w:rsidR="00124B29" w:rsidRPr="009622C2" w:rsidRDefault="00124B29" w:rsidP="007163A4">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受訪者背景</w:t>
      </w:r>
    </w:p>
    <w:p w:rsidR="00B2247E"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調研對象是以香港為業務中心，並參與入口或出口空運貿易的公司；其業務範圍包括以下各類商品：手錶、鐘錶、首飾、衣飾、電子產品及部件、禮品、玩具及家品、食物及飲料、其他（包括速遞文件及不屬上述種類的商品）。</w:t>
      </w:r>
    </w:p>
    <w:p w:rsidR="00B2247E" w:rsidRPr="009622C2" w:rsidRDefault="00B2247E" w:rsidP="00B2247E">
      <w:pPr>
        <w:jc w:val="both"/>
        <w:rPr>
          <w:rFonts w:ascii="微軟正黑體" w:eastAsia="微軟正黑體" w:hAnsi="微軟正黑體"/>
          <w:color w:val="000000" w:themeColor="text1"/>
          <w:szCs w:val="24"/>
        </w:rPr>
      </w:pPr>
    </w:p>
    <w:p w:rsidR="00124B29" w:rsidRPr="009622C2" w:rsidRDefault="00B2247E" w:rsidP="00B2247E">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lastRenderedPageBreak/>
        <w:t>自</w:t>
      </w:r>
      <w:r w:rsidRPr="009622C2">
        <w:rPr>
          <w:rFonts w:ascii="微軟正黑體" w:eastAsia="微軟正黑體" w:hAnsi="微軟正黑體"/>
          <w:color w:val="000000" w:themeColor="text1"/>
          <w:szCs w:val="24"/>
        </w:rPr>
        <w:t>2014</w:t>
      </w:r>
      <w:r w:rsidRPr="009622C2">
        <w:rPr>
          <w:rFonts w:ascii="微軟正黑體" w:eastAsia="微軟正黑體" w:hAnsi="微軟正黑體" w:hint="eastAsia"/>
          <w:color w:val="000000" w:themeColor="text1"/>
          <w:szCs w:val="24"/>
        </w:rPr>
        <w:t>年第二季首次進行調查起，每季從超過</w:t>
      </w:r>
      <w:r w:rsidRPr="009622C2">
        <w:rPr>
          <w:rFonts w:ascii="微軟正黑體" w:eastAsia="微軟正黑體" w:hAnsi="微軟正黑體"/>
          <w:color w:val="000000" w:themeColor="text1"/>
          <w:szCs w:val="24"/>
        </w:rPr>
        <w:t>1</w:t>
      </w:r>
      <w:r w:rsidRPr="009622C2">
        <w:rPr>
          <w:rFonts w:ascii="微軟正黑體" w:eastAsia="微軟正黑體" w:hAnsi="微軟正黑體" w:hint="eastAsia"/>
          <w:color w:val="000000" w:themeColor="text1"/>
          <w:szCs w:val="24"/>
        </w:rPr>
        <w:t>萬個調研對象中隨機抽選以進行電話訪問，收集</w:t>
      </w:r>
      <w:r w:rsidRPr="009622C2">
        <w:rPr>
          <w:rFonts w:ascii="微軟正黑體" w:eastAsia="微軟正黑體" w:hAnsi="微軟正黑體"/>
          <w:color w:val="000000" w:themeColor="text1"/>
          <w:szCs w:val="24"/>
        </w:rPr>
        <w:t>600</w:t>
      </w:r>
      <w:r w:rsidRPr="009622C2">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rsidR="00124B29" w:rsidRPr="009622C2" w:rsidRDefault="00124B29" w:rsidP="007163A4">
      <w:pPr>
        <w:jc w:val="both"/>
        <w:rPr>
          <w:rFonts w:ascii="微軟正黑體" w:eastAsia="微軟正黑體" w:hAnsi="微軟正黑體"/>
          <w:color w:val="000000" w:themeColor="text1"/>
          <w:szCs w:val="24"/>
        </w:rPr>
      </w:pPr>
    </w:p>
    <w:p w:rsidR="003238E6" w:rsidRPr="009622C2" w:rsidRDefault="00D0732C" w:rsidP="00F04785">
      <w:pPr>
        <w:jc w:val="both"/>
        <w:rPr>
          <w:rFonts w:ascii="微軟正黑體" w:eastAsia="微軟正黑體" w:hAnsi="微軟正黑體"/>
          <w:color w:val="000000" w:themeColor="text1"/>
          <w:szCs w:val="24"/>
        </w:rPr>
      </w:pPr>
      <w:r w:rsidRPr="009622C2">
        <w:rPr>
          <w:rFonts w:ascii="微軟正黑體" w:eastAsia="微軟正黑體" w:hAnsi="微軟正黑體"/>
          <w:color w:val="000000" w:themeColor="text1"/>
          <w:szCs w:val="24"/>
        </w:rPr>
        <w:t>(</w:t>
      </w:r>
      <w:r w:rsidR="00F04785" w:rsidRPr="009622C2">
        <w:rPr>
          <w:rFonts w:ascii="微軟正黑體" w:eastAsia="微軟正黑體" w:hAnsi="微軟正黑體" w:hint="eastAsia"/>
          <w:color w:val="000000" w:themeColor="text1"/>
          <w:szCs w:val="24"/>
        </w:rPr>
        <w:t>1</w:t>
      </w:r>
      <w:r w:rsidRPr="009622C2">
        <w:rPr>
          <w:rFonts w:ascii="微軟正黑體" w:eastAsia="微軟正黑體" w:hAnsi="微軟正黑體"/>
          <w:color w:val="000000" w:themeColor="text1"/>
          <w:szCs w:val="24"/>
        </w:rPr>
        <w:t>)</w:t>
      </w:r>
      <w:r w:rsidR="00124B29" w:rsidRPr="009622C2">
        <w:rPr>
          <w:rFonts w:ascii="微軟正黑體" w:eastAsia="微軟正黑體" w:hAnsi="微軟正黑體" w:hint="eastAsia"/>
          <w:color w:val="000000" w:themeColor="text1"/>
          <w:szCs w:val="24"/>
        </w:rPr>
        <w:t xml:space="preserve"> </w:t>
      </w:r>
      <w:r w:rsidR="00F04785" w:rsidRPr="009622C2">
        <w:rPr>
          <w:rFonts w:ascii="微軟正黑體" w:eastAsia="微軟正黑體" w:hAnsi="微軟正黑體"/>
          <w:color w:val="000000" w:themeColor="text1"/>
          <w:szCs w:val="24"/>
        </w:rPr>
        <w:t>201</w:t>
      </w:r>
      <w:r w:rsidR="00B2247E" w:rsidRPr="009622C2">
        <w:rPr>
          <w:rFonts w:ascii="微軟正黑體" w:eastAsia="微軟正黑體" w:hAnsi="微軟正黑體" w:hint="eastAsia"/>
          <w:color w:val="000000" w:themeColor="text1"/>
          <w:szCs w:val="24"/>
        </w:rPr>
        <w:t>8</w:t>
      </w:r>
      <w:r w:rsidR="00F04785" w:rsidRPr="009622C2">
        <w:rPr>
          <w:rFonts w:ascii="微軟正黑體" w:eastAsia="微軟正黑體" w:hAnsi="微軟正黑體" w:hint="eastAsia"/>
          <w:color w:val="000000" w:themeColor="text1"/>
          <w:szCs w:val="24"/>
        </w:rPr>
        <w:t>年版政府統計處「運輸、倉庫及速遞服務業的業務表現及營運特色的主要統計數字」</w:t>
      </w:r>
    </w:p>
    <w:p w:rsidR="00602E9E" w:rsidRDefault="00602E9E">
      <w:pPr>
        <w:widowControl/>
        <w:rPr>
          <w:rFonts w:ascii="微軟正黑體" w:eastAsia="微軟正黑體" w:hAnsi="微軟正黑體"/>
          <w:b/>
          <w:color w:val="000000" w:themeColor="text1"/>
          <w:szCs w:val="24"/>
        </w:rPr>
      </w:pPr>
      <w:r>
        <w:rPr>
          <w:rFonts w:ascii="微軟正黑體" w:eastAsia="微軟正黑體" w:hAnsi="微軟正黑體"/>
          <w:b/>
          <w:color w:val="000000" w:themeColor="text1"/>
          <w:szCs w:val="24"/>
        </w:rPr>
        <w:br w:type="page"/>
      </w:r>
    </w:p>
    <w:p w:rsidR="00F04785" w:rsidRPr="009622C2" w:rsidRDefault="00F04785"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lastRenderedPageBreak/>
        <w:t>本季撮要</w:t>
      </w:r>
    </w:p>
    <w:p w:rsidR="00F04785" w:rsidRPr="009622C2" w:rsidRDefault="00F04785" w:rsidP="003A51DD">
      <w:pPr>
        <w:jc w:val="both"/>
        <w:rPr>
          <w:rFonts w:ascii="微軟正黑體" w:eastAsia="微軟正黑體" w:hAnsi="微軟正黑體"/>
          <w:b/>
          <w:color w:val="000000" w:themeColor="text1"/>
          <w:szCs w:val="24"/>
        </w:rPr>
      </w:pPr>
    </w:p>
    <w:p w:rsidR="00AF65D7" w:rsidRPr="00D36F36" w:rsidRDefault="00D36F36" w:rsidP="003A51DD">
      <w:pPr>
        <w:jc w:val="both"/>
        <w:rPr>
          <w:rFonts w:ascii="微軟正黑體" w:eastAsia="微軟正黑體" w:hAnsi="微軟正黑體"/>
          <w:b/>
          <w:color w:val="000000" w:themeColor="text1"/>
          <w:szCs w:val="24"/>
        </w:rPr>
      </w:pPr>
      <w:r w:rsidRPr="00D36F36">
        <w:rPr>
          <w:rFonts w:ascii="微軟正黑體" w:eastAsia="微軟正黑體" w:hAnsi="微軟正黑體" w:hint="eastAsia"/>
          <w:b/>
          <w:color w:val="000000" w:themeColor="text1"/>
          <w:szCs w:val="24"/>
        </w:rPr>
        <w:t>指數在美洲地區和電子及產品及部件的銷售改善帶動下，延續過去數個季度的復甦勢頭，於各方面有進一步增長。整體指數於2021年第三季錄得42.9點，反映本地空運用家對近期營商環境及經濟展望更加樂觀，但仍持審慎態度。</w:t>
      </w:r>
    </w:p>
    <w:p w:rsidR="00D36F36" w:rsidRPr="00D36F36" w:rsidRDefault="00D36F36" w:rsidP="003A51DD">
      <w:pPr>
        <w:jc w:val="both"/>
        <w:rPr>
          <w:rFonts w:ascii="微軟正黑體" w:eastAsia="微軟正黑體" w:hAnsi="微軟正黑體"/>
          <w:b/>
          <w:color w:val="000000" w:themeColor="text1"/>
          <w:szCs w:val="24"/>
          <w:lang w:eastAsia="zh-HK"/>
        </w:rPr>
      </w:pPr>
    </w:p>
    <w:p w:rsidR="00D36F36" w:rsidRPr="00D36F36" w:rsidRDefault="00D36F36" w:rsidP="00D36F36">
      <w:pPr>
        <w:pStyle w:val="a3"/>
        <w:numPr>
          <w:ilvl w:val="0"/>
          <w:numId w:val="3"/>
        </w:numPr>
        <w:ind w:leftChars="0"/>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美洲地區成為首個超越50點持平線的市場，其表現亦較其他地區更好。歐洲和亞太地區亦逐漸加快步伐。</w:t>
      </w:r>
    </w:p>
    <w:p w:rsidR="00D36F36" w:rsidRPr="00D36F36" w:rsidRDefault="00D36F36" w:rsidP="00D36F36">
      <w:pPr>
        <w:pStyle w:val="a3"/>
        <w:numPr>
          <w:ilvl w:val="0"/>
          <w:numId w:val="3"/>
        </w:numPr>
        <w:ind w:leftChars="0"/>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B2C電子商務持續蓬勃，本季上升至55點，超越50點持平線，推動整體出口增長。向歐洲出口低價貨品的空運用家，則由於歐盟於2021年7月1日取消22歐元最低價免稅限額，而對情緒略有影響。</w:t>
      </w:r>
    </w:p>
    <w:p w:rsidR="00D36F36" w:rsidRPr="00D36F36" w:rsidRDefault="00D36F36" w:rsidP="00D36F36">
      <w:pPr>
        <w:pStyle w:val="a3"/>
        <w:numPr>
          <w:ilvl w:val="0"/>
          <w:numId w:val="3"/>
        </w:numPr>
        <w:ind w:leftChars="0"/>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受半導體晶片不平穩的供應與需求的影響，約半數從事晶片相關原料 / 半製成品 / 製成品貿易業務的空運用家對全球晶片短缺表示擔憂。</w:t>
      </w:r>
    </w:p>
    <w:p w:rsidR="00D36F36" w:rsidRPr="00D36F36" w:rsidRDefault="00D36F36" w:rsidP="005A1E64">
      <w:pPr>
        <w:pStyle w:val="a3"/>
        <w:numPr>
          <w:ilvl w:val="0"/>
          <w:numId w:val="3"/>
        </w:numPr>
        <w:ind w:leftChars="0"/>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本地方面，逾四分之一的入口商預期消費券計劃會為業務帶來正面影響。</w:t>
      </w:r>
    </w:p>
    <w:p w:rsidR="00F04785" w:rsidRPr="00D36F36" w:rsidRDefault="00F04785" w:rsidP="00F04785">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生產力局首席數碼總監黎少斌先生表示：「今年整體指數是自2018年第三季以來三年的最高點，2021年第三季度連續錄得五個季度增長。隨著主要發達經濟體的疫苗接種計劃進行得如火如荼，本地空運用家對營商環境改善的樂觀氣氛持續改善。有鑑香港是2019年全球最大半導體設備進口國和第13大出口國，本季度的調查特別詢問了有關半導體的情況，受訪者反映半導體行業受到供應短缺的影響。」</w:t>
      </w: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近幾個季度的調查結果均顯示，新常態下電子商務發展勢頭持續強勁，許多本地航空貿易商在近幾個月出現改善跡象的情況，藉此機會擴大業務。國家《十四五》規劃加上內地「雙循環」發展模式拉動內需，隨著大灣區的發展，香港仍然是重要的航空樞紐，為香港企業提供了巨大機遇。本地消費券計劃將促進網上支付並加速本地整體消費，可能有助於推動本土消費和進口。」</w:t>
      </w:r>
    </w:p>
    <w:p w:rsidR="008974E8" w:rsidRPr="009622C2" w:rsidRDefault="008974E8" w:rsidP="00124B29">
      <w:pPr>
        <w:rPr>
          <w:rFonts w:ascii="微軟正黑體" w:eastAsia="微軟正黑體" w:hAnsi="微軟正黑體"/>
          <w:color w:val="000000" w:themeColor="text1"/>
          <w:szCs w:val="24"/>
        </w:rPr>
      </w:pPr>
    </w:p>
    <w:p w:rsidR="00124B29" w:rsidRPr="009622C2" w:rsidRDefault="00861671" w:rsidP="00124B29">
      <w:pPr>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空運貿易</w:t>
      </w:r>
      <w:r w:rsidR="00124B29" w:rsidRPr="009622C2">
        <w:rPr>
          <w:rFonts w:ascii="微軟正黑體" w:eastAsia="微軟正黑體" w:hAnsi="微軟正黑體" w:hint="eastAsia"/>
          <w:b/>
          <w:color w:val="000000" w:themeColor="text1"/>
          <w:szCs w:val="24"/>
        </w:rPr>
        <w:t>整體指數</w:t>
      </w:r>
    </w:p>
    <w:p w:rsidR="00D36F36" w:rsidRPr="00D36F36" w:rsidRDefault="00D36F36" w:rsidP="003E6E9D">
      <w:pPr>
        <w:jc w:val="both"/>
        <w:rPr>
          <w:rFonts w:ascii="微軟正黑體" w:eastAsia="微軟正黑體" w:hAnsi="微軟正黑體"/>
          <w:b/>
          <w:color w:val="000000" w:themeColor="text1"/>
          <w:szCs w:val="24"/>
        </w:rPr>
      </w:pPr>
      <w:r w:rsidRPr="00D36F36">
        <w:rPr>
          <w:rFonts w:ascii="微軟正黑體" w:eastAsia="微軟正黑體" w:hAnsi="微軟正黑體" w:hint="eastAsia"/>
          <w:b/>
          <w:color w:val="000000" w:themeColor="text1"/>
          <w:szCs w:val="24"/>
        </w:rPr>
        <w:t>出口及入口首次一同突破40點水平，更連續五個季度持續增長。</w:t>
      </w:r>
    </w:p>
    <w:p w:rsidR="004D0336" w:rsidRPr="00D36F36" w:rsidRDefault="004D0336" w:rsidP="003E6E9D">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b/>
          <w:color w:val="000000" w:themeColor="text1"/>
          <w:szCs w:val="24"/>
        </w:rPr>
        <w:t>整體空運</w:t>
      </w:r>
      <w:r w:rsidRPr="00D36F36">
        <w:rPr>
          <w:rFonts w:ascii="微軟正黑體" w:eastAsia="微軟正黑體" w:hAnsi="微軟正黑體" w:hint="eastAsia"/>
          <w:color w:val="000000" w:themeColor="text1"/>
          <w:szCs w:val="24"/>
        </w:rPr>
        <w:t>指數上升4.2點至本季的42.9點。</w:t>
      </w:r>
    </w:p>
    <w:p w:rsidR="00D36F36" w:rsidRPr="00D36F36" w:rsidRDefault="00D36F36" w:rsidP="00D36F36">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b/>
          <w:color w:val="000000" w:themeColor="text1"/>
          <w:szCs w:val="24"/>
        </w:rPr>
        <w:t>出口／轉口</w:t>
      </w:r>
      <w:r w:rsidRPr="00D36F36">
        <w:rPr>
          <w:rFonts w:ascii="微軟正黑體" w:eastAsia="微軟正黑體" w:hAnsi="微軟正黑體" w:hint="eastAsia"/>
          <w:color w:val="000000" w:themeColor="text1"/>
          <w:szCs w:val="24"/>
        </w:rPr>
        <w:t>指數表現優於入口指數，上升5.2點至本季的43.2點，上一季的升幅亦達6.9點。除日本地區外，所有地區錄得改善。</w:t>
      </w:r>
    </w:p>
    <w:p w:rsidR="00D36F36" w:rsidRPr="00D36F36" w:rsidRDefault="00D36F36" w:rsidP="00D36F36">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b/>
          <w:color w:val="000000" w:themeColor="text1"/>
          <w:szCs w:val="24"/>
        </w:rPr>
        <w:t>入口</w:t>
      </w:r>
      <w:r w:rsidRPr="00D36F36">
        <w:rPr>
          <w:rFonts w:ascii="微軟正黑體" w:eastAsia="微軟正黑體" w:hAnsi="微軟正黑體" w:hint="eastAsia"/>
          <w:color w:val="000000" w:themeColor="text1"/>
          <w:szCs w:val="24"/>
        </w:rPr>
        <w:t>指數上升2.4點至本季的42.4點。所有地區持續改善，其中美洲市場錄得大幅增長。</w:t>
      </w:r>
    </w:p>
    <w:p w:rsidR="003E6E9D" w:rsidRPr="009622C2" w:rsidRDefault="003E6E9D" w:rsidP="00AF65D7">
      <w:pPr>
        <w:rPr>
          <w:rFonts w:ascii="微軟正黑體" w:eastAsia="微軟正黑體" w:hAnsi="微軟正黑體"/>
          <w:color w:val="000000" w:themeColor="text1"/>
          <w:szCs w:val="24"/>
        </w:rPr>
      </w:pPr>
    </w:p>
    <w:p w:rsidR="00124B29" w:rsidRPr="009622C2" w:rsidRDefault="00124B29" w:rsidP="00124B29">
      <w:pPr>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lastRenderedPageBreak/>
        <w:t>基本因素</w:t>
      </w:r>
    </w:p>
    <w:p w:rsidR="00D36F36" w:rsidRPr="00D36F36" w:rsidRDefault="00D36F36" w:rsidP="009E2D86">
      <w:pPr>
        <w:jc w:val="both"/>
        <w:rPr>
          <w:rFonts w:ascii="微軟正黑體" w:eastAsia="微軟正黑體" w:hAnsi="微軟正黑體"/>
          <w:b/>
          <w:color w:val="000000" w:themeColor="text1"/>
          <w:szCs w:val="24"/>
        </w:rPr>
      </w:pPr>
      <w:r w:rsidRPr="00D36F36">
        <w:rPr>
          <w:rFonts w:ascii="微軟正黑體" w:eastAsia="微軟正黑體" w:hAnsi="微軟正黑體" w:hint="eastAsia"/>
          <w:b/>
          <w:color w:val="000000" w:themeColor="text1"/>
          <w:szCs w:val="24"/>
        </w:rPr>
        <w:t>繼上一季的強勁復甦後，銷售量持續於本季錄得大幅增長，產品種類亦錄得輕微增幅。</w:t>
      </w:r>
    </w:p>
    <w:p w:rsidR="008E5264" w:rsidRPr="00D36F36" w:rsidRDefault="008E5264" w:rsidP="009E2D86">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與另外兩項指數相比，</w:t>
      </w:r>
      <w:r w:rsidRPr="00D36F36">
        <w:rPr>
          <w:rFonts w:ascii="微軟正黑體" w:eastAsia="微軟正黑體" w:hAnsi="微軟正黑體" w:hint="eastAsia"/>
          <w:b/>
          <w:color w:val="000000" w:themeColor="text1"/>
          <w:szCs w:val="24"/>
        </w:rPr>
        <w:t>銷售量</w:t>
      </w:r>
      <w:r w:rsidRPr="00D36F36">
        <w:rPr>
          <w:rFonts w:ascii="微軟正黑體" w:eastAsia="微軟正黑體" w:hAnsi="微軟正黑體" w:hint="eastAsia"/>
          <w:color w:val="000000" w:themeColor="text1"/>
          <w:szCs w:val="24"/>
        </w:rPr>
        <w:t>以較快的步伐增長，指數上升6點至43點持續。全球主要市場均有所改善，其中以美洲及歐洲市場領先。</w:t>
      </w:r>
    </w:p>
    <w:p w:rsidR="00D36F36" w:rsidRPr="00D36F36" w:rsidRDefault="00D36F36" w:rsidP="00D36F36">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b/>
          <w:color w:val="000000" w:themeColor="text1"/>
          <w:szCs w:val="24"/>
        </w:rPr>
        <w:t>產品種類</w:t>
      </w:r>
      <w:r w:rsidRPr="00D36F36">
        <w:rPr>
          <w:rFonts w:ascii="微軟正黑體" w:eastAsia="微軟正黑體" w:hAnsi="微軟正黑體" w:hint="eastAsia"/>
          <w:color w:val="000000" w:themeColor="text1"/>
          <w:szCs w:val="24"/>
        </w:rPr>
        <w:t>輕微上升1點至46點。指數於出口及入口均維持穩定。</w:t>
      </w:r>
    </w:p>
    <w:p w:rsidR="00D36F36" w:rsidRPr="00D36F36" w:rsidRDefault="00D36F36" w:rsidP="00D36F36">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經過上一季的強勁增長，</w:t>
      </w:r>
      <w:r w:rsidRPr="00D36F36">
        <w:rPr>
          <w:rFonts w:ascii="微軟正黑體" w:eastAsia="微軟正黑體" w:hAnsi="微軟正黑體" w:hint="eastAsia"/>
          <w:b/>
          <w:color w:val="000000" w:themeColor="text1"/>
          <w:szCs w:val="24"/>
        </w:rPr>
        <w:t>緊急訂單</w:t>
      </w:r>
      <w:r w:rsidRPr="00D36F36">
        <w:rPr>
          <w:rFonts w:ascii="微軟正黑體" w:eastAsia="微軟正黑體" w:hAnsi="微軟正黑體" w:hint="eastAsia"/>
          <w:color w:val="000000" w:themeColor="text1"/>
          <w:szCs w:val="24"/>
        </w:rPr>
        <w:t>維持於45點，中國內地市場於本季回軟。</w:t>
      </w:r>
    </w:p>
    <w:p w:rsidR="003E6E9D" w:rsidRPr="009622C2" w:rsidRDefault="003E6E9D" w:rsidP="008F7D5D">
      <w:pPr>
        <w:jc w:val="both"/>
        <w:rPr>
          <w:rFonts w:ascii="微軟正黑體" w:eastAsia="微軟正黑體" w:hAnsi="微軟正黑體"/>
          <w:color w:val="000000" w:themeColor="text1"/>
          <w:szCs w:val="24"/>
        </w:rPr>
      </w:pPr>
    </w:p>
    <w:p w:rsidR="00124B29" w:rsidRPr="009622C2" w:rsidRDefault="00124B29" w:rsidP="00CB5400">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貿易航線</w:t>
      </w:r>
    </w:p>
    <w:p w:rsidR="00D36F36" w:rsidRPr="00D36F36" w:rsidRDefault="00D36F36" w:rsidP="003A51DD">
      <w:pPr>
        <w:jc w:val="both"/>
        <w:rPr>
          <w:rFonts w:ascii="微軟正黑體" w:eastAsia="微軟正黑體" w:hAnsi="微軟正黑體"/>
          <w:b/>
          <w:color w:val="000000" w:themeColor="text1"/>
          <w:szCs w:val="24"/>
        </w:rPr>
      </w:pPr>
      <w:r w:rsidRPr="00D36F36">
        <w:rPr>
          <w:rFonts w:ascii="微軟正黑體" w:eastAsia="微軟正黑體" w:hAnsi="微軟正黑體" w:hint="eastAsia"/>
          <w:b/>
          <w:color w:val="000000" w:themeColor="text1"/>
          <w:szCs w:val="24"/>
        </w:rPr>
        <w:t>各主要市場穩定增長，標誌著一輪較為廣泛的復甦。美洲地區維持領先地位，成為第一個超越持平線的主要市場。</w:t>
      </w:r>
    </w:p>
    <w:p w:rsidR="00AF65D7" w:rsidRPr="00D36F36" w:rsidRDefault="00AF65D7" w:rsidP="003A51DD">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四個主要市場於出口及入口兩方面均有增長，無一例外。</w:t>
      </w:r>
    </w:p>
    <w:p w:rsidR="00D36F36" w:rsidRPr="00D36F36" w:rsidRDefault="00D36F36" w:rsidP="00D36F36">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b/>
          <w:color w:val="000000" w:themeColor="text1"/>
          <w:szCs w:val="24"/>
        </w:rPr>
        <w:t>美洲</w:t>
      </w:r>
      <w:r w:rsidRPr="00D36F36">
        <w:rPr>
          <w:rFonts w:ascii="微軟正黑體" w:eastAsia="微軟正黑體" w:hAnsi="微軟正黑體" w:hint="eastAsia"/>
          <w:color w:val="000000" w:themeColor="text1"/>
          <w:szCs w:val="24"/>
        </w:rPr>
        <w:t>指數上升7點至51點，這是指數自2018年第三季以來，首次觸及持平線。與出口相比，入口的展望較好。</w:t>
      </w:r>
    </w:p>
    <w:p w:rsidR="00D36F36" w:rsidRPr="00D36F36" w:rsidRDefault="00D36F36" w:rsidP="00D36F36">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b/>
          <w:color w:val="000000" w:themeColor="text1"/>
          <w:szCs w:val="24"/>
        </w:rPr>
        <w:t>亞太地區</w:t>
      </w:r>
      <w:r w:rsidRPr="00D36F36">
        <w:rPr>
          <w:rFonts w:ascii="微軟正黑體" w:eastAsia="微軟正黑體" w:hAnsi="微軟正黑體" w:hint="eastAsia"/>
          <w:color w:val="000000" w:themeColor="text1"/>
          <w:szCs w:val="24"/>
        </w:rPr>
        <w:t>及</w:t>
      </w:r>
      <w:r w:rsidRPr="00D36F36">
        <w:rPr>
          <w:rFonts w:ascii="微軟正黑體" w:eastAsia="微軟正黑體" w:hAnsi="微軟正黑體" w:hint="eastAsia"/>
          <w:b/>
          <w:color w:val="000000" w:themeColor="text1"/>
          <w:szCs w:val="24"/>
        </w:rPr>
        <w:t>歐洲</w:t>
      </w:r>
      <w:r w:rsidRPr="00D36F36">
        <w:rPr>
          <w:rFonts w:ascii="微軟正黑體" w:eastAsia="微軟正黑體" w:hAnsi="微軟正黑體" w:hint="eastAsia"/>
          <w:color w:val="000000" w:themeColor="text1"/>
          <w:szCs w:val="24"/>
        </w:rPr>
        <w:t>指數皆上升3點，分別錄得41點和40點，出口是這兩個地區的主要推動力。</w:t>
      </w:r>
    </w:p>
    <w:p w:rsidR="00D36F36" w:rsidRPr="00D36F36" w:rsidRDefault="00D36F36" w:rsidP="00D36F36">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b/>
          <w:color w:val="000000" w:themeColor="text1"/>
          <w:szCs w:val="24"/>
        </w:rPr>
        <w:t>其他地區</w:t>
      </w:r>
      <w:r w:rsidRPr="00D36F36">
        <w:rPr>
          <w:rFonts w:ascii="微軟正黑體" w:eastAsia="微軟正黑體" w:hAnsi="微軟正黑體" w:hint="eastAsia"/>
          <w:color w:val="000000" w:themeColor="text1"/>
          <w:szCs w:val="24"/>
        </w:rPr>
        <w:t>指數上升至3點至31點。</w:t>
      </w:r>
    </w:p>
    <w:p w:rsidR="00467E1F" w:rsidRPr="00D36F36" w:rsidRDefault="00467E1F" w:rsidP="00AF65D7">
      <w:pPr>
        <w:jc w:val="both"/>
        <w:rPr>
          <w:rFonts w:ascii="微軟正黑體" w:eastAsia="微軟正黑體" w:hAnsi="微軟正黑體"/>
          <w:color w:val="E36C0A" w:themeColor="accent6" w:themeShade="BF"/>
          <w:szCs w:val="24"/>
        </w:rPr>
      </w:pPr>
    </w:p>
    <w:p w:rsidR="00124B29" w:rsidRPr="009622C2" w:rsidRDefault="00124B29" w:rsidP="00A4241C">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空運商品</w:t>
      </w:r>
    </w:p>
    <w:p w:rsidR="00D36F36" w:rsidRPr="00D36F36" w:rsidRDefault="00D36F36" w:rsidP="00A4241C">
      <w:pPr>
        <w:jc w:val="both"/>
        <w:rPr>
          <w:rFonts w:ascii="微軟正黑體" w:eastAsia="微軟正黑體" w:hAnsi="微軟正黑體"/>
          <w:b/>
          <w:color w:val="000000" w:themeColor="text1"/>
          <w:szCs w:val="24"/>
        </w:rPr>
      </w:pPr>
      <w:r w:rsidRPr="00D36F36">
        <w:rPr>
          <w:rFonts w:ascii="微軟正黑體" w:eastAsia="微軟正黑體" w:hAnsi="微軟正黑體" w:hint="eastAsia"/>
          <w:b/>
          <w:color w:val="000000" w:themeColor="text1"/>
          <w:szCs w:val="24"/>
        </w:rPr>
        <w:t>大部份的空運商品於本季維持上升動力，以電子產品及部件的增長最突出。</w:t>
      </w:r>
    </w:p>
    <w:p w:rsidR="00AF65D7" w:rsidRPr="00D36F36" w:rsidRDefault="00AF65D7" w:rsidP="00A4241C">
      <w:pPr>
        <w:jc w:val="both"/>
        <w:rPr>
          <w:rFonts w:ascii="微軟正黑體" w:eastAsia="微軟正黑體" w:hAnsi="微軟正黑體"/>
          <w:color w:val="000000" w:themeColor="text1"/>
          <w:szCs w:val="24"/>
        </w:rPr>
      </w:pPr>
    </w:p>
    <w:p w:rsidR="00D36F36" w:rsidRPr="00D36F36" w:rsidRDefault="00D36F36" w:rsidP="00D36F36">
      <w:pPr>
        <w:jc w:val="both"/>
        <w:rPr>
          <w:rFonts w:ascii="微軟正黑體" w:eastAsia="微軟正黑體" w:hAnsi="微軟正黑體"/>
          <w:color w:val="000000" w:themeColor="text1"/>
          <w:szCs w:val="24"/>
          <w:lang w:eastAsia="zh-HK"/>
        </w:rPr>
      </w:pPr>
      <w:r w:rsidRPr="00D36F36">
        <w:rPr>
          <w:rFonts w:ascii="微軟正黑體" w:eastAsia="微軟正黑體" w:hAnsi="微軟正黑體" w:hint="eastAsia"/>
          <w:b/>
          <w:color w:val="000000" w:themeColor="text1"/>
          <w:szCs w:val="24"/>
          <w:lang w:eastAsia="zh-HK"/>
        </w:rPr>
        <w:t>電子產品及部件</w:t>
      </w:r>
      <w:r w:rsidRPr="00D36F36">
        <w:rPr>
          <w:rFonts w:ascii="微軟正黑體" w:eastAsia="微軟正黑體" w:hAnsi="微軟正黑體" w:hint="eastAsia"/>
          <w:color w:val="000000" w:themeColor="text1"/>
          <w:szCs w:val="24"/>
          <w:lang w:eastAsia="zh-HK"/>
        </w:rPr>
        <w:t>指數躍升9點至48點。全球出口及入口的需求進一步復甦，亞太地區是主要的推動力。</w:t>
      </w:r>
    </w:p>
    <w:p w:rsidR="00D36F36" w:rsidRPr="00D36F36" w:rsidRDefault="00D36F36" w:rsidP="00D36F36">
      <w:pPr>
        <w:jc w:val="both"/>
        <w:rPr>
          <w:rFonts w:ascii="微軟正黑體" w:eastAsia="微軟正黑體" w:hAnsi="微軟正黑體"/>
          <w:color w:val="000000" w:themeColor="text1"/>
          <w:szCs w:val="24"/>
          <w:lang w:eastAsia="zh-HK"/>
        </w:rPr>
      </w:pPr>
    </w:p>
    <w:p w:rsidR="00D36F36" w:rsidRPr="00D36F36" w:rsidRDefault="00D36F36" w:rsidP="00D36F36">
      <w:pPr>
        <w:jc w:val="both"/>
        <w:rPr>
          <w:rFonts w:ascii="微軟正黑體" w:eastAsia="微軟正黑體" w:hAnsi="微軟正黑體"/>
          <w:color w:val="000000" w:themeColor="text1"/>
          <w:szCs w:val="24"/>
          <w:lang w:eastAsia="zh-HK"/>
        </w:rPr>
      </w:pPr>
      <w:r w:rsidRPr="00D36F36">
        <w:rPr>
          <w:rFonts w:ascii="微軟正黑體" w:eastAsia="微軟正黑體" w:hAnsi="微軟正黑體" w:hint="eastAsia"/>
          <w:b/>
          <w:color w:val="000000" w:themeColor="text1"/>
          <w:szCs w:val="24"/>
          <w:lang w:eastAsia="zh-HK"/>
        </w:rPr>
        <w:t>鐘錶及首飾</w:t>
      </w:r>
      <w:r w:rsidRPr="00D36F36">
        <w:rPr>
          <w:rFonts w:ascii="微軟正黑體" w:eastAsia="微軟正黑體" w:hAnsi="微軟正黑體" w:hint="eastAsia"/>
          <w:color w:val="000000" w:themeColor="text1"/>
          <w:szCs w:val="24"/>
          <w:lang w:eastAsia="zh-HK"/>
        </w:rPr>
        <w:t>指數上升5點至45點，受惠於出口方面3的強勁增長支持。</w:t>
      </w:r>
    </w:p>
    <w:p w:rsidR="00D36F36" w:rsidRPr="00D36F36" w:rsidRDefault="00D36F36" w:rsidP="00D36F36">
      <w:pPr>
        <w:jc w:val="both"/>
        <w:rPr>
          <w:rFonts w:ascii="微軟正黑體" w:eastAsia="微軟正黑體" w:hAnsi="微軟正黑體"/>
          <w:color w:val="000000" w:themeColor="text1"/>
          <w:szCs w:val="24"/>
          <w:lang w:eastAsia="zh-HK"/>
        </w:rPr>
      </w:pPr>
    </w:p>
    <w:p w:rsidR="00D36F36" w:rsidRPr="00D36F36" w:rsidRDefault="00D36F36" w:rsidP="00D36F36">
      <w:pPr>
        <w:jc w:val="both"/>
        <w:rPr>
          <w:rFonts w:ascii="微軟正黑體" w:eastAsia="微軟正黑體" w:hAnsi="微軟正黑體"/>
          <w:color w:val="000000" w:themeColor="text1"/>
          <w:szCs w:val="24"/>
          <w:lang w:eastAsia="zh-HK"/>
        </w:rPr>
      </w:pPr>
      <w:r w:rsidRPr="00D36F36">
        <w:rPr>
          <w:rFonts w:ascii="微軟正黑體" w:eastAsia="微軟正黑體" w:hAnsi="微軟正黑體" w:hint="eastAsia"/>
          <w:b/>
          <w:color w:val="000000" w:themeColor="text1"/>
          <w:szCs w:val="24"/>
          <w:lang w:eastAsia="zh-HK"/>
        </w:rPr>
        <w:t>食物及飲料</w:t>
      </w:r>
      <w:r w:rsidRPr="00D36F36">
        <w:rPr>
          <w:rFonts w:ascii="微軟正黑體" w:eastAsia="微軟正黑體" w:hAnsi="微軟正黑體" w:hint="eastAsia"/>
          <w:color w:val="000000" w:themeColor="text1"/>
          <w:szCs w:val="24"/>
          <w:lang w:eastAsia="zh-HK"/>
        </w:rPr>
        <w:t>指數是本季唯一錄得跌幅的空運貨品，受出口的拖累輕微下跌至42點。</w:t>
      </w:r>
    </w:p>
    <w:p w:rsidR="00D36F36" w:rsidRPr="00D36F36" w:rsidRDefault="00D36F36" w:rsidP="00D36F36">
      <w:pPr>
        <w:jc w:val="both"/>
        <w:rPr>
          <w:rFonts w:ascii="微軟正黑體" w:eastAsia="微軟正黑體" w:hAnsi="微軟正黑體"/>
          <w:color w:val="000000" w:themeColor="text1"/>
          <w:szCs w:val="24"/>
          <w:lang w:eastAsia="zh-HK"/>
        </w:rPr>
      </w:pPr>
      <w:bookmarkStart w:id="0" w:name="_GoBack"/>
      <w:bookmarkEnd w:id="0"/>
    </w:p>
    <w:p w:rsidR="00D36F36" w:rsidRPr="00D36F36" w:rsidRDefault="00D36F36" w:rsidP="00D36F36">
      <w:pPr>
        <w:jc w:val="both"/>
        <w:rPr>
          <w:rFonts w:ascii="微軟正黑體" w:eastAsia="微軟正黑體" w:hAnsi="微軟正黑體"/>
          <w:color w:val="000000" w:themeColor="text1"/>
          <w:szCs w:val="24"/>
          <w:lang w:eastAsia="zh-HK"/>
        </w:rPr>
      </w:pPr>
      <w:r w:rsidRPr="00D36F36">
        <w:rPr>
          <w:rFonts w:ascii="微軟正黑體" w:eastAsia="微軟正黑體" w:hAnsi="微軟正黑體" w:hint="eastAsia"/>
          <w:b/>
          <w:color w:val="000000" w:themeColor="text1"/>
          <w:szCs w:val="24"/>
          <w:lang w:eastAsia="zh-HK"/>
        </w:rPr>
        <w:t>衣飾</w:t>
      </w:r>
      <w:r w:rsidRPr="00D36F36">
        <w:rPr>
          <w:rFonts w:ascii="微軟正黑體" w:eastAsia="微軟正黑體" w:hAnsi="微軟正黑體" w:hint="eastAsia"/>
          <w:color w:val="000000" w:themeColor="text1"/>
          <w:szCs w:val="24"/>
          <w:lang w:eastAsia="zh-HK"/>
        </w:rPr>
        <w:t>指數在美洲市場的主要帶動下上升3點至38點。</w:t>
      </w:r>
    </w:p>
    <w:p w:rsidR="00D36F36" w:rsidRPr="00D36F36" w:rsidRDefault="00D36F36" w:rsidP="00D36F36">
      <w:pPr>
        <w:jc w:val="both"/>
        <w:rPr>
          <w:rFonts w:ascii="微軟正黑體" w:eastAsia="微軟正黑體" w:hAnsi="微軟正黑體"/>
          <w:color w:val="000000" w:themeColor="text1"/>
          <w:szCs w:val="24"/>
          <w:lang w:eastAsia="zh-HK"/>
        </w:rPr>
      </w:pPr>
    </w:p>
    <w:p w:rsidR="00D36F36" w:rsidRPr="00D36F36" w:rsidRDefault="00D36F36" w:rsidP="00D36F36">
      <w:pPr>
        <w:jc w:val="both"/>
        <w:rPr>
          <w:rFonts w:ascii="微軟正黑體" w:eastAsia="微軟正黑體" w:hAnsi="微軟正黑體"/>
          <w:color w:val="000000" w:themeColor="text1"/>
          <w:szCs w:val="24"/>
          <w:lang w:eastAsia="zh-HK"/>
        </w:rPr>
      </w:pPr>
      <w:r w:rsidRPr="00D36F36">
        <w:rPr>
          <w:rFonts w:ascii="微軟正黑體" w:eastAsia="微軟正黑體" w:hAnsi="微軟正黑體" w:hint="eastAsia"/>
          <w:b/>
          <w:color w:val="000000" w:themeColor="text1"/>
          <w:szCs w:val="24"/>
          <w:lang w:eastAsia="zh-HK"/>
        </w:rPr>
        <w:lastRenderedPageBreak/>
        <w:t>禮品、玩具及家庭用品</w:t>
      </w:r>
      <w:r w:rsidRPr="00D36F36">
        <w:rPr>
          <w:rFonts w:ascii="微軟正黑體" w:eastAsia="微軟正黑體" w:hAnsi="微軟正黑體" w:hint="eastAsia"/>
          <w:color w:val="000000" w:themeColor="text1"/>
          <w:szCs w:val="24"/>
          <w:lang w:eastAsia="zh-HK"/>
        </w:rPr>
        <w:t>指數上升6點至42點，美洲及亞太地區帶領上升趨勢。</w:t>
      </w:r>
    </w:p>
    <w:p w:rsidR="0070685F" w:rsidRPr="00D36F36" w:rsidRDefault="0070685F" w:rsidP="00AF65D7">
      <w:pPr>
        <w:jc w:val="both"/>
        <w:rPr>
          <w:rFonts w:ascii="微軟正黑體" w:eastAsia="微軟正黑體" w:hAnsi="微軟正黑體"/>
          <w:color w:val="E36C0A" w:themeColor="accent6" w:themeShade="BF"/>
          <w:szCs w:val="24"/>
          <w:lang w:eastAsia="zh-HK"/>
        </w:rPr>
      </w:pPr>
    </w:p>
    <w:p w:rsidR="00AA1E16" w:rsidRPr="009622C2" w:rsidRDefault="00AA1E16" w:rsidP="00AA1E16">
      <w:pPr>
        <w:jc w:val="both"/>
        <w:rPr>
          <w:rFonts w:ascii="微軟正黑體" w:eastAsia="微軟正黑體" w:hAnsi="微軟正黑體"/>
          <w:color w:val="000000" w:themeColor="text1"/>
          <w:szCs w:val="24"/>
          <w:lang w:eastAsia="zh-HK"/>
        </w:rPr>
      </w:pPr>
    </w:p>
    <w:p w:rsidR="00124B29" w:rsidRPr="009622C2" w:rsidRDefault="00124B29"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近期市場消息對空運貿易的影響</w:t>
      </w:r>
    </w:p>
    <w:p w:rsidR="00D36F36" w:rsidRPr="00D36F36" w:rsidRDefault="00D36F36" w:rsidP="003A51DD">
      <w:pPr>
        <w:jc w:val="both"/>
        <w:rPr>
          <w:rFonts w:ascii="微軟正黑體" w:eastAsia="微軟正黑體" w:hAnsi="微軟正黑體"/>
          <w:b/>
          <w:color w:val="000000" w:themeColor="text1"/>
          <w:szCs w:val="24"/>
        </w:rPr>
      </w:pPr>
      <w:r w:rsidRPr="00D36F36">
        <w:rPr>
          <w:rFonts w:ascii="微軟正黑體" w:eastAsia="微軟正黑體" w:hAnsi="微軟正黑體" w:hint="eastAsia"/>
          <w:b/>
          <w:color w:val="000000" w:themeColor="text1"/>
          <w:szCs w:val="24"/>
        </w:rPr>
        <w:t>雖然空運用家對各項外來因素，例如全球晶片短缺及歐盟廢除22歐元低價免稅限額（VAT De Minimis）表示擔憂，然而本季各方面都顯著改善。</w:t>
      </w:r>
    </w:p>
    <w:p w:rsidR="00220154" w:rsidRPr="00D36F36" w:rsidRDefault="00220154" w:rsidP="003A51DD">
      <w:pPr>
        <w:jc w:val="both"/>
        <w:rPr>
          <w:rFonts w:ascii="微軟正黑體" w:eastAsia="微軟正黑體" w:hAnsi="微軟正黑體"/>
          <w:color w:val="000000" w:themeColor="text1"/>
          <w:szCs w:val="24"/>
        </w:rPr>
      </w:pPr>
    </w:p>
    <w:p w:rsidR="00B07438" w:rsidRPr="00D36F36" w:rsidRDefault="00B07438" w:rsidP="008E4EDC">
      <w:pPr>
        <w:widowControl/>
        <w:jc w:val="both"/>
        <w:rPr>
          <w:rFonts w:ascii="微軟正黑體" w:eastAsia="微軟正黑體" w:hAnsi="微軟正黑體"/>
          <w:color w:val="000000" w:themeColor="text1"/>
          <w:szCs w:val="24"/>
        </w:rPr>
      </w:pPr>
      <w:r w:rsidRPr="00B07438">
        <w:rPr>
          <w:rFonts w:ascii="微軟正黑體" w:eastAsia="微軟正黑體" w:hAnsi="微軟正黑體" w:hint="eastAsia"/>
          <w:color w:val="000000" w:themeColor="text1"/>
          <w:szCs w:val="24"/>
        </w:rPr>
        <w:t>中美貿易關係然緊張，認為前景樂觀的空運用家於本季下降8個百分點，持負面看法的空運用家上升8個百分點，而維持中立的空運用家則輕微上升。</w:t>
      </w:r>
    </w:p>
    <w:p w:rsidR="007A172D" w:rsidRPr="00D36F36" w:rsidRDefault="007A172D" w:rsidP="008E4EDC">
      <w:pPr>
        <w:widowControl/>
        <w:jc w:val="both"/>
        <w:rPr>
          <w:rFonts w:ascii="微軟正黑體" w:eastAsia="微軟正黑體" w:hAnsi="微軟正黑體"/>
          <w:color w:val="000000" w:themeColor="text1"/>
          <w:szCs w:val="24"/>
        </w:rPr>
      </w:pPr>
    </w:p>
    <w:p w:rsidR="00D36F36" w:rsidRPr="00D36F36" w:rsidRDefault="00D36F36" w:rsidP="008E4EDC">
      <w:pPr>
        <w:widowControl/>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至於2021年第二季的盈利狀況，68%空運用家表示錄得盈餘或收支平衡。配合全球需求改善及空運市場活動增加，錄得虧損的中小企比例連續多季減少。</w:t>
      </w:r>
    </w:p>
    <w:p w:rsidR="007A172D" w:rsidRPr="00D36F36" w:rsidRDefault="007A172D" w:rsidP="008E4EDC">
      <w:pPr>
        <w:widowControl/>
        <w:jc w:val="both"/>
        <w:rPr>
          <w:rFonts w:ascii="微軟正黑體" w:eastAsia="微軟正黑體" w:hAnsi="微軟正黑體"/>
          <w:color w:val="000000" w:themeColor="text1"/>
          <w:szCs w:val="24"/>
        </w:rPr>
      </w:pPr>
    </w:p>
    <w:p w:rsidR="00D36F36" w:rsidRPr="00D36F36" w:rsidRDefault="00D36F36" w:rsidP="008E4EDC">
      <w:pPr>
        <w:widowControl/>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在本地需求方面，香港特區政府推出消費券計劃以刺激本地消費。措施對本地需求帶來潛在貢獻，27%入口商預期將對2021年第三季業務帶來正面影響。</w:t>
      </w:r>
    </w:p>
    <w:p w:rsidR="007A172D" w:rsidRPr="00D36F36" w:rsidRDefault="007A172D" w:rsidP="008E4EDC">
      <w:pPr>
        <w:widowControl/>
        <w:jc w:val="both"/>
        <w:rPr>
          <w:rFonts w:ascii="微軟正黑體" w:eastAsia="微軟正黑體" w:hAnsi="微軟正黑體"/>
          <w:color w:val="000000" w:themeColor="text1"/>
          <w:szCs w:val="24"/>
        </w:rPr>
      </w:pPr>
    </w:p>
    <w:p w:rsidR="00D36F36" w:rsidRPr="00D36F36" w:rsidRDefault="00D36F36" w:rsidP="008E4EDC">
      <w:pPr>
        <w:widowControl/>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歐盟取消低價免稅限額（VAT De Minimis），以往非歐盟賣家輸入價值22歐元或以下的貨件到歐盟可獲豁免加值稅。政策於2021年7月1日取消後，所有入口貨件必須正式報關及課徵增值稅。43%有歐盟業務的出口商表示這項轉變會對貨量會帶來負面影響，57%的出口商則認為沒有影響或有正面影響。</w:t>
      </w:r>
    </w:p>
    <w:p w:rsidR="007A172D" w:rsidRPr="00D36F36" w:rsidRDefault="007A172D" w:rsidP="008E4EDC">
      <w:pPr>
        <w:widowControl/>
        <w:jc w:val="both"/>
        <w:rPr>
          <w:rFonts w:ascii="微軟正黑體" w:eastAsia="微軟正黑體" w:hAnsi="微軟正黑體"/>
          <w:color w:val="000000" w:themeColor="text1"/>
          <w:szCs w:val="24"/>
        </w:rPr>
      </w:pPr>
    </w:p>
    <w:p w:rsidR="00D36F36" w:rsidRPr="00D36F36" w:rsidRDefault="00D36F36" w:rsidP="008E4EDC">
      <w:pPr>
        <w:widowControl/>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全球晶片短缺影響與晶片相關產品的出入口。超過一半運送晶片相關產品的空運用家認為晶片短缺會帶來負面影響，只有10%表示會帶來正面影響。晶片出入口商方面，情況稍為樂觀一些，33%認為晶片短缺會帶來負面影響，22%則覺得會帶來正面影響。</w:t>
      </w:r>
    </w:p>
    <w:p w:rsidR="007A172D" w:rsidRPr="009622C2" w:rsidRDefault="007A172D" w:rsidP="008E4EDC">
      <w:pPr>
        <w:widowControl/>
        <w:jc w:val="both"/>
        <w:rPr>
          <w:rFonts w:ascii="微軟正黑體" w:eastAsia="微軟正黑體" w:hAnsi="微軟正黑體"/>
          <w:color w:val="000000" w:themeColor="text1"/>
          <w:szCs w:val="24"/>
        </w:rPr>
      </w:pPr>
    </w:p>
    <w:p w:rsidR="004664BC" w:rsidRPr="009622C2" w:rsidRDefault="004664BC">
      <w:pPr>
        <w:widowControl/>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註：由於四捨五入，數字相加後未必等於100%。</w:t>
      </w:r>
    </w:p>
    <w:p w:rsidR="004664BC" w:rsidRPr="009622C2" w:rsidRDefault="004664BC">
      <w:pPr>
        <w:widowControl/>
        <w:rPr>
          <w:rFonts w:ascii="微軟正黑體" w:eastAsia="微軟正黑體" w:hAnsi="微軟正黑體"/>
          <w:b/>
          <w:color w:val="000000" w:themeColor="text1"/>
          <w:szCs w:val="24"/>
        </w:rPr>
      </w:pPr>
      <w:r w:rsidRPr="009622C2">
        <w:rPr>
          <w:rFonts w:ascii="微軟正黑體" w:eastAsia="微軟正黑體" w:hAnsi="微軟正黑體"/>
          <w:b/>
          <w:color w:val="000000" w:themeColor="text1"/>
          <w:szCs w:val="24"/>
        </w:rPr>
        <w:br w:type="page"/>
      </w:r>
    </w:p>
    <w:p w:rsidR="00124B29" w:rsidRPr="009622C2" w:rsidRDefault="00124B29" w:rsidP="00124B29">
      <w:pPr>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lastRenderedPageBreak/>
        <w:t>關於香港生產力促進局</w:t>
      </w:r>
    </w:p>
    <w:p w:rsidR="007A172D" w:rsidRPr="00D36F36" w:rsidRDefault="007A172D" w:rsidP="00476443">
      <w:pPr>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香港生產力促進局（生產力局）是於1967年成立的法定機構，專業技術和知識涵蓋多個不同範疇，致力以先進技術和創新服務，驅動香港企業提升卓越生產力。生產力局作為科技創新、應用科技和價值創造的賦能者及促進者，利用工業4.0和企業4.0，加速香港再工業化發展；同時致力發展智能及綠色生活應用技術，全面促進香港成為國際創新科技中心及智慧城市。</w:t>
      </w:r>
    </w:p>
    <w:p w:rsidR="007A172D" w:rsidRPr="00D36F36" w:rsidRDefault="007A172D" w:rsidP="00476443">
      <w:pPr>
        <w:jc w:val="both"/>
        <w:rPr>
          <w:rFonts w:ascii="微軟正黑體" w:eastAsia="微軟正黑體" w:hAnsi="微軟正黑體"/>
          <w:color w:val="000000" w:themeColor="text1"/>
          <w:szCs w:val="24"/>
        </w:rPr>
      </w:pPr>
    </w:p>
    <w:p w:rsidR="007A172D" w:rsidRPr="00D36F36" w:rsidRDefault="007A172D" w:rsidP="007A172D">
      <w:pPr>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生產力局是香港工商企業值得信賴的合作夥伴，提供全方位的創新方案，提升企業的資源效益，提升生產力和業務效率、減省營運成本，令企業在本地和國際市場中保持競爭優勢。生產力局致力為中小企和初創企業提供即時和適切的支援，應對瞬息萬變的營商環境，陪伴它們走上創新和轉型之路；並提供各類未來技能發展課程，目標壯大本地人才庫，讓企業掌握最新數碼及STEM技術，加強企業技能及提升市場競爭力。</w:t>
      </w:r>
    </w:p>
    <w:p w:rsidR="007A172D" w:rsidRPr="00D36F36" w:rsidRDefault="007A172D" w:rsidP="007A172D">
      <w:pPr>
        <w:jc w:val="both"/>
        <w:rPr>
          <w:rFonts w:ascii="微軟正黑體" w:eastAsia="微軟正黑體" w:hAnsi="微軟正黑體"/>
          <w:color w:val="000000" w:themeColor="text1"/>
          <w:szCs w:val="24"/>
        </w:rPr>
      </w:pPr>
    </w:p>
    <w:p w:rsidR="007A172D" w:rsidRPr="00D36F36" w:rsidRDefault="007A172D" w:rsidP="00D36F36">
      <w:pPr>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此外，生產力局積極與本地工商界及世界級研發機構合作，開發應用技術方案，為產業創優增值。透過產品創新和技術轉移，成功推出多種由市場主導的專利技術和產品，發掘本地和國際市場在授權和技術轉移服務中的龐大商機。</w:t>
      </w:r>
    </w:p>
    <w:p w:rsidR="007A172D" w:rsidRPr="00D36F36" w:rsidRDefault="007A172D" w:rsidP="007A172D">
      <w:pPr>
        <w:jc w:val="both"/>
        <w:rPr>
          <w:rFonts w:ascii="微軟正黑體" w:eastAsia="微軟正黑體" w:hAnsi="微軟正黑體"/>
          <w:color w:val="000000" w:themeColor="text1"/>
          <w:szCs w:val="24"/>
        </w:rPr>
      </w:pPr>
    </w:p>
    <w:p w:rsidR="007A172D" w:rsidRPr="00D36F36" w:rsidRDefault="007A172D" w:rsidP="007A172D">
      <w:pPr>
        <w:jc w:val="both"/>
        <w:rPr>
          <w:rFonts w:ascii="微軟正黑體" w:eastAsia="微軟正黑體" w:hAnsi="微軟正黑體"/>
          <w:color w:val="000000" w:themeColor="text1"/>
          <w:szCs w:val="24"/>
        </w:rPr>
      </w:pPr>
      <w:r w:rsidRPr="00D36F36">
        <w:rPr>
          <w:rFonts w:ascii="微軟正黑體" w:eastAsia="微軟正黑體" w:hAnsi="微軟正黑體" w:hint="eastAsia"/>
          <w:color w:val="000000" w:themeColor="text1"/>
          <w:szCs w:val="24"/>
        </w:rPr>
        <w:t>如欲瞭解更多詳情，請瀏覽生產力局網頁：www.hkpc.org。</w:t>
      </w:r>
    </w:p>
    <w:p w:rsidR="00476443" w:rsidRPr="009622C2" w:rsidRDefault="00476443" w:rsidP="00476443">
      <w:pPr>
        <w:jc w:val="both"/>
        <w:rPr>
          <w:rFonts w:ascii="微軟正黑體" w:eastAsia="微軟正黑體" w:hAnsi="微軟正黑體"/>
          <w:color w:val="000000" w:themeColor="text1"/>
          <w:szCs w:val="24"/>
        </w:rPr>
      </w:pPr>
    </w:p>
    <w:p w:rsidR="00124B29" w:rsidRPr="009622C2" w:rsidRDefault="00124B29"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查詢</w:t>
      </w:r>
    </w:p>
    <w:p w:rsidR="00861671" w:rsidRPr="009622C2" w:rsidRDefault="00476443" w:rsidP="003A51DD">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查詢有關本指數的詳情，請與生產力局聯絡，電話：2788 5306。</w:t>
      </w:r>
    </w:p>
    <w:p w:rsidR="00476443" w:rsidRPr="009622C2" w:rsidRDefault="00476443" w:rsidP="003A51DD">
      <w:pPr>
        <w:jc w:val="both"/>
        <w:rPr>
          <w:rFonts w:ascii="微軟正黑體" w:eastAsia="微軟正黑體" w:hAnsi="微軟正黑體"/>
          <w:color w:val="000000" w:themeColor="text1"/>
          <w:szCs w:val="24"/>
        </w:rPr>
      </w:pPr>
    </w:p>
    <w:p w:rsidR="00124B29" w:rsidRPr="009622C2" w:rsidRDefault="00124B29" w:rsidP="003A51DD">
      <w:pPr>
        <w:jc w:val="both"/>
        <w:rPr>
          <w:rFonts w:ascii="微軟正黑體" w:eastAsia="微軟正黑體" w:hAnsi="微軟正黑體"/>
          <w:b/>
          <w:color w:val="000000" w:themeColor="text1"/>
          <w:szCs w:val="24"/>
        </w:rPr>
      </w:pPr>
      <w:r w:rsidRPr="009622C2">
        <w:rPr>
          <w:rFonts w:ascii="微軟正黑體" w:eastAsia="微軟正黑體" w:hAnsi="微軟正黑體" w:hint="eastAsia"/>
          <w:b/>
          <w:color w:val="000000" w:themeColor="text1"/>
          <w:szCs w:val="24"/>
        </w:rPr>
        <w:t>聲明</w:t>
      </w:r>
    </w:p>
    <w:p w:rsidR="00476443" w:rsidRPr="009622C2" w:rsidRDefault="00476443">
      <w:pPr>
        <w:jc w:val="both"/>
        <w:rPr>
          <w:rFonts w:ascii="微軟正黑體" w:eastAsia="微軟正黑體" w:hAnsi="微軟正黑體"/>
          <w:color w:val="000000" w:themeColor="text1"/>
          <w:szCs w:val="24"/>
        </w:rPr>
      </w:pPr>
      <w:r w:rsidRPr="009622C2">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本報告包含調查所得的研究結果。對於因閱讀或使用本文資料而產生的任何損失、錯誤、延誤，或據此而採取的任何行動或非行動，生產力局概不負責。</w:t>
      </w:r>
    </w:p>
    <w:sectPr w:rsidR="00476443" w:rsidRPr="009622C2"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9A0" w:rsidRDefault="00AB09A0" w:rsidP="007655C2">
      <w:pPr>
        <w:spacing w:line="240" w:lineRule="auto"/>
      </w:pPr>
      <w:r>
        <w:separator/>
      </w:r>
    </w:p>
  </w:endnote>
  <w:endnote w:type="continuationSeparator" w:id="0">
    <w:p w:rsidR="00AB09A0" w:rsidRDefault="00AB09A0"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9A0" w:rsidRDefault="00AB09A0" w:rsidP="007655C2">
      <w:pPr>
        <w:spacing w:line="240" w:lineRule="auto"/>
      </w:pPr>
      <w:r>
        <w:separator/>
      </w:r>
    </w:p>
  </w:footnote>
  <w:footnote w:type="continuationSeparator" w:id="0">
    <w:p w:rsidR="00AB09A0" w:rsidRDefault="00AB09A0"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3CC"/>
    <w:rsid w:val="00000FE4"/>
    <w:rsid w:val="00077770"/>
    <w:rsid w:val="000B5FA6"/>
    <w:rsid w:val="000D6B72"/>
    <w:rsid w:val="00106BD6"/>
    <w:rsid w:val="00124B29"/>
    <w:rsid w:val="001254FF"/>
    <w:rsid w:val="00126890"/>
    <w:rsid w:val="001275E0"/>
    <w:rsid w:val="00197F40"/>
    <w:rsid w:val="001A2E92"/>
    <w:rsid w:val="001B5B08"/>
    <w:rsid w:val="00220154"/>
    <w:rsid w:val="00260D34"/>
    <w:rsid w:val="00262339"/>
    <w:rsid w:val="002811A9"/>
    <w:rsid w:val="00281CA6"/>
    <w:rsid w:val="002959CC"/>
    <w:rsid w:val="002E7590"/>
    <w:rsid w:val="003238E6"/>
    <w:rsid w:val="003620DE"/>
    <w:rsid w:val="00366781"/>
    <w:rsid w:val="00370CBC"/>
    <w:rsid w:val="003A51DD"/>
    <w:rsid w:val="003B275A"/>
    <w:rsid w:val="003C3B29"/>
    <w:rsid w:val="003C5D62"/>
    <w:rsid w:val="003E6E9D"/>
    <w:rsid w:val="00444138"/>
    <w:rsid w:val="00451839"/>
    <w:rsid w:val="004664BC"/>
    <w:rsid w:val="00467E1F"/>
    <w:rsid w:val="00476443"/>
    <w:rsid w:val="00476C9B"/>
    <w:rsid w:val="00497385"/>
    <w:rsid w:val="004A1A9C"/>
    <w:rsid w:val="004D0336"/>
    <w:rsid w:val="00515782"/>
    <w:rsid w:val="00521733"/>
    <w:rsid w:val="00523D60"/>
    <w:rsid w:val="005575AF"/>
    <w:rsid w:val="00592D90"/>
    <w:rsid w:val="005F310D"/>
    <w:rsid w:val="00602E9E"/>
    <w:rsid w:val="006103BD"/>
    <w:rsid w:val="00616462"/>
    <w:rsid w:val="0065612E"/>
    <w:rsid w:val="00670688"/>
    <w:rsid w:val="00693F02"/>
    <w:rsid w:val="006A2864"/>
    <w:rsid w:val="006B0BF3"/>
    <w:rsid w:val="0070685F"/>
    <w:rsid w:val="00710AF7"/>
    <w:rsid w:val="00714F44"/>
    <w:rsid w:val="007163A4"/>
    <w:rsid w:val="007655C2"/>
    <w:rsid w:val="0078137D"/>
    <w:rsid w:val="00785C29"/>
    <w:rsid w:val="007A172D"/>
    <w:rsid w:val="007B0722"/>
    <w:rsid w:val="007E1207"/>
    <w:rsid w:val="007E62A6"/>
    <w:rsid w:val="00811DA4"/>
    <w:rsid w:val="00840AE2"/>
    <w:rsid w:val="00861671"/>
    <w:rsid w:val="00874C21"/>
    <w:rsid w:val="00877E8D"/>
    <w:rsid w:val="00881122"/>
    <w:rsid w:val="00896D88"/>
    <w:rsid w:val="008974E8"/>
    <w:rsid w:val="008A36F7"/>
    <w:rsid w:val="008C53CC"/>
    <w:rsid w:val="008D1179"/>
    <w:rsid w:val="008E4EDC"/>
    <w:rsid w:val="008E5264"/>
    <w:rsid w:val="008F7D5D"/>
    <w:rsid w:val="009156F1"/>
    <w:rsid w:val="009172F6"/>
    <w:rsid w:val="00930879"/>
    <w:rsid w:val="00943099"/>
    <w:rsid w:val="00961381"/>
    <w:rsid w:val="009622C2"/>
    <w:rsid w:val="00972D66"/>
    <w:rsid w:val="00980C68"/>
    <w:rsid w:val="00983F77"/>
    <w:rsid w:val="00996DC8"/>
    <w:rsid w:val="009B1F10"/>
    <w:rsid w:val="009B2FCA"/>
    <w:rsid w:val="009E2D86"/>
    <w:rsid w:val="009F576C"/>
    <w:rsid w:val="00A079B2"/>
    <w:rsid w:val="00A156AB"/>
    <w:rsid w:val="00A16C20"/>
    <w:rsid w:val="00A17B8D"/>
    <w:rsid w:val="00A22357"/>
    <w:rsid w:val="00A4241C"/>
    <w:rsid w:val="00A53CA4"/>
    <w:rsid w:val="00A73F48"/>
    <w:rsid w:val="00A911EB"/>
    <w:rsid w:val="00AA1E16"/>
    <w:rsid w:val="00AA29D8"/>
    <w:rsid w:val="00AA55A7"/>
    <w:rsid w:val="00AB09A0"/>
    <w:rsid w:val="00AF65D7"/>
    <w:rsid w:val="00B07438"/>
    <w:rsid w:val="00B2247E"/>
    <w:rsid w:val="00B26F1D"/>
    <w:rsid w:val="00B447BA"/>
    <w:rsid w:val="00B66CD4"/>
    <w:rsid w:val="00BA1B51"/>
    <w:rsid w:val="00C03FC1"/>
    <w:rsid w:val="00C51F89"/>
    <w:rsid w:val="00C600B0"/>
    <w:rsid w:val="00CA33B2"/>
    <w:rsid w:val="00CB5400"/>
    <w:rsid w:val="00D0732C"/>
    <w:rsid w:val="00D36F36"/>
    <w:rsid w:val="00D4193A"/>
    <w:rsid w:val="00D47E0E"/>
    <w:rsid w:val="00D80487"/>
    <w:rsid w:val="00D808FC"/>
    <w:rsid w:val="00D87A29"/>
    <w:rsid w:val="00DC5B38"/>
    <w:rsid w:val="00DF4914"/>
    <w:rsid w:val="00DF6233"/>
    <w:rsid w:val="00E04B40"/>
    <w:rsid w:val="00E16BF3"/>
    <w:rsid w:val="00E34D4B"/>
    <w:rsid w:val="00E35012"/>
    <w:rsid w:val="00E46DB7"/>
    <w:rsid w:val="00E615EC"/>
    <w:rsid w:val="00EB26C8"/>
    <w:rsid w:val="00EC0577"/>
    <w:rsid w:val="00ED1FAF"/>
    <w:rsid w:val="00F04785"/>
    <w:rsid w:val="00F1251D"/>
    <w:rsid w:val="00F45B59"/>
    <w:rsid w:val="00F95643"/>
    <w:rsid w:val="00FB4D5B"/>
    <w:rsid w:val="00FC3B5E"/>
    <w:rsid w:val="00FE5066"/>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paragraph" w:styleId="2">
    <w:name w:val="heading 2"/>
    <w:basedOn w:val="a"/>
    <w:link w:val="20"/>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8C53CC"/>
    <w:rPr>
      <w:rFonts w:ascii="新細明體" w:eastAsia="新細明體" w:hAnsi="新細明體" w:cs="新細明體"/>
      <w:b/>
      <w:bCs/>
      <w:kern w:val="0"/>
      <w:sz w:val="36"/>
      <w:szCs w:val="36"/>
    </w:rPr>
  </w:style>
  <w:style w:type="character" w:customStyle="1" w:styleId="30">
    <w:name w:val="標題 3 字元"/>
    <w:basedOn w:val="a0"/>
    <w:link w:val="3"/>
    <w:uiPriority w:val="9"/>
    <w:semiHidden/>
    <w:rsid w:val="008C53CC"/>
    <w:rPr>
      <w:rFonts w:asciiTheme="majorHAnsi" w:eastAsiaTheme="majorEastAsia" w:hAnsiTheme="majorHAnsi" w:cstheme="majorBidi"/>
      <w:b/>
      <w:bCs/>
      <w:sz w:val="36"/>
      <w:szCs w:val="36"/>
    </w:rPr>
  </w:style>
  <w:style w:type="paragraph" w:styleId="a3">
    <w:name w:val="List Paragraph"/>
    <w:basedOn w:val="a"/>
    <w:uiPriority w:val="34"/>
    <w:qFormat/>
    <w:rsid w:val="00124B29"/>
    <w:pPr>
      <w:ind w:leftChars="200" w:left="480"/>
    </w:pPr>
  </w:style>
  <w:style w:type="paragraph" w:styleId="a4">
    <w:name w:val="header"/>
    <w:basedOn w:val="a"/>
    <w:link w:val="a5"/>
    <w:uiPriority w:val="99"/>
    <w:unhideWhenUsed/>
    <w:rsid w:val="007655C2"/>
    <w:pPr>
      <w:tabs>
        <w:tab w:val="center" w:pos="4153"/>
        <w:tab w:val="right" w:pos="8306"/>
      </w:tabs>
      <w:snapToGrid w:val="0"/>
    </w:pPr>
    <w:rPr>
      <w:sz w:val="20"/>
      <w:szCs w:val="20"/>
    </w:rPr>
  </w:style>
  <w:style w:type="character" w:customStyle="1" w:styleId="a5">
    <w:name w:val="頁首 字元"/>
    <w:basedOn w:val="a0"/>
    <w:link w:val="a4"/>
    <w:uiPriority w:val="99"/>
    <w:rsid w:val="007655C2"/>
    <w:rPr>
      <w:sz w:val="20"/>
      <w:szCs w:val="20"/>
    </w:rPr>
  </w:style>
  <w:style w:type="paragraph" w:styleId="a6">
    <w:name w:val="footer"/>
    <w:basedOn w:val="a"/>
    <w:link w:val="a7"/>
    <w:uiPriority w:val="99"/>
    <w:unhideWhenUsed/>
    <w:rsid w:val="007655C2"/>
    <w:pPr>
      <w:tabs>
        <w:tab w:val="center" w:pos="4153"/>
        <w:tab w:val="right" w:pos="8306"/>
      </w:tabs>
      <w:snapToGrid w:val="0"/>
    </w:pPr>
    <w:rPr>
      <w:sz w:val="20"/>
      <w:szCs w:val="20"/>
    </w:rPr>
  </w:style>
  <w:style w:type="character" w:customStyle="1" w:styleId="a7">
    <w:name w:val="頁尾 字元"/>
    <w:basedOn w:val="a0"/>
    <w:link w:val="a6"/>
    <w:uiPriority w:val="99"/>
    <w:rsid w:val="007655C2"/>
    <w:rPr>
      <w:sz w:val="20"/>
      <w:szCs w:val="20"/>
    </w:rPr>
  </w:style>
  <w:style w:type="paragraph" w:styleId="a8">
    <w:name w:val="Balloon Text"/>
    <w:basedOn w:val="a"/>
    <w:link w:val="a9"/>
    <w:uiPriority w:val="99"/>
    <w:semiHidden/>
    <w:unhideWhenUsed/>
    <w:rsid w:val="00D4193A"/>
    <w:pPr>
      <w:spacing w:line="240" w:lineRule="auto"/>
    </w:pPr>
    <w:rPr>
      <w:rFonts w:ascii="Microsoft JhengHei UI" w:eastAsia="Microsoft JhengHei UI"/>
      <w:sz w:val="18"/>
      <w:szCs w:val="18"/>
    </w:rPr>
  </w:style>
  <w:style w:type="character" w:customStyle="1" w:styleId="a9">
    <w:name w:val="註解方塊文字 字元"/>
    <w:basedOn w:val="a0"/>
    <w:link w:val="a8"/>
    <w:uiPriority w:val="99"/>
    <w:semiHidden/>
    <w:rsid w:val="00D4193A"/>
    <w:rPr>
      <w:rFonts w:ascii="Microsoft JhengHei UI" w:eastAsia="Microsoft JhengHei UI"/>
      <w:sz w:val="18"/>
      <w:szCs w:val="18"/>
    </w:rPr>
  </w:style>
  <w:style w:type="character" w:styleId="aa">
    <w:name w:val="Hyperlink"/>
    <w:basedOn w:val="a0"/>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6</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111</cp:revision>
  <cp:lastPrinted>2018-11-05T04:33:00Z</cp:lastPrinted>
  <dcterms:created xsi:type="dcterms:W3CDTF">2015-11-13T04:04:00Z</dcterms:created>
  <dcterms:modified xsi:type="dcterms:W3CDTF">2021-07-20T04:38:00Z</dcterms:modified>
</cp:coreProperties>
</file>