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5CA5" w14:textId="7DAB949C" w:rsidR="00124B29" w:rsidRPr="001730BE" w:rsidRDefault="00124B29" w:rsidP="00124B29">
      <w:pPr>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 xml:space="preserve">DHL 香港空運貿易領先指數 </w:t>
      </w:r>
      <w:r w:rsidR="002E2378" w:rsidRPr="001730BE">
        <w:rPr>
          <w:rFonts w:ascii="微軟正黑體" w:eastAsia="微軟正黑體" w:hAnsi="微軟正黑體" w:hint="eastAsia"/>
          <w:b/>
          <w:color w:val="000000" w:themeColor="text1"/>
          <w:szCs w:val="24"/>
        </w:rPr>
        <w:t>（DTI）</w:t>
      </w:r>
    </w:p>
    <w:p w14:paraId="5525F2AB" w14:textId="5DF5E4F3" w:rsidR="00124B29" w:rsidRPr="001730BE" w:rsidRDefault="007655C2" w:rsidP="00124B29">
      <w:pPr>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20</w:t>
      </w:r>
      <w:r w:rsidR="00B2247E" w:rsidRPr="001730BE">
        <w:rPr>
          <w:rFonts w:ascii="微軟正黑體" w:eastAsia="微軟正黑體" w:hAnsi="微軟正黑體"/>
          <w:b/>
          <w:color w:val="000000" w:themeColor="text1"/>
          <w:szCs w:val="24"/>
        </w:rPr>
        <w:t>2</w:t>
      </w:r>
      <w:r w:rsidR="006459F5" w:rsidRPr="001730BE">
        <w:rPr>
          <w:rFonts w:ascii="微軟正黑體" w:eastAsia="微軟正黑體" w:hAnsi="微軟正黑體"/>
          <w:b/>
          <w:color w:val="000000" w:themeColor="text1"/>
          <w:szCs w:val="24"/>
        </w:rPr>
        <w:t>4</w:t>
      </w:r>
      <w:r w:rsidRPr="001730BE">
        <w:rPr>
          <w:rFonts w:ascii="微軟正黑體" w:eastAsia="微軟正黑體" w:hAnsi="微軟正黑體" w:hint="eastAsia"/>
          <w:b/>
          <w:color w:val="000000" w:themeColor="text1"/>
          <w:szCs w:val="24"/>
        </w:rPr>
        <w:t>年第</w:t>
      </w:r>
      <w:r w:rsidR="00FB5D1B" w:rsidRPr="001730BE">
        <w:rPr>
          <w:rFonts w:ascii="微軟正黑體" w:eastAsia="微軟正黑體" w:hAnsi="微軟正黑體" w:hint="eastAsia"/>
          <w:b/>
          <w:color w:val="000000" w:themeColor="text1"/>
          <w:szCs w:val="24"/>
        </w:rPr>
        <w:t>四</w:t>
      </w:r>
      <w:r w:rsidRPr="001730BE">
        <w:rPr>
          <w:rFonts w:ascii="微軟正黑體" w:eastAsia="微軟正黑體" w:hAnsi="微軟正黑體" w:hint="eastAsia"/>
          <w:b/>
          <w:color w:val="000000" w:themeColor="text1"/>
          <w:szCs w:val="24"/>
        </w:rPr>
        <w:t>季度報告</w:t>
      </w:r>
    </w:p>
    <w:p w14:paraId="2BDB63F6" w14:textId="77777777" w:rsidR="007655C2" w:rsidRPr="001730BE" w:rsidRDefault="007655C2" w:rsidP="00124B29">
      <w:pPr>
        <w:rPr>
          <w:rFonts w:ascii="微軟正黑體" w:eastAsia="微軟正黑體" w:hAnsi="微軟正黑體"/>
          <w:color w:val="000000" w:themeColor="text1"/>
          <w:szCs w:val="24"/>
        </w:rPr>
      </w:pPr>
    </w:p>
    <w:p w14:paraId="28FC2F4E" w14:textId="5AB19436" w:rsidR="00F31935" w:rsidRPr="001730BE" w:rsidRDefault="00F31935" w:rsidP="0046499C">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1730BE">
        <w:rPr>
          <w:rFonts w:ascii="微軟正黑體" w:eastAsia="微軟正黑體" w:hAnsi="微軟正黑體" w:hint="eastAsia"/>
          <w:color w:val="000000" w:themeColor="text1"/>
          <w:szCs w:val="24"/>
        </w:rPr>
        <w:t>dti_cn</w:t>
      </w:r>
      <w:proofErr w:type="spellEnd"/>
      <w:r w:rsidRPr="001730BE">
        <w:rPr>
          <w:rFonts w:ascii="微軟正黑體" w:eastAsia="微軟正黑體" w:hAnsi="微軟正黑體" w:hint="eastAsia"/>
          <w:color w:val="000000" w:themeColor="text1"/>
          <w:szCs w:val="24"/>
        </w:rPr>
        <w:t xml:space="preserve"> 查詢。</w:t>
      </w:r>
    </w:p>
    <w:p w14:paraId="206CA706" w14:textId="77777777" w:rsidR="00124B29" w:rsidRPr="001730BE"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摘要</w:t>
      </w:r>
    </w:p>
    <w:p w14:paraId="3EF01D2E" w14:textId="5EC50498" w:rsidR="00F31935" w:rsidRPr="001730BE" w:rsidRDefault="00F31935" w:rsidP="00110D8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香港是亞洲其中一個主要航運樞紐，而香港國際機場的國際貨運吞吐量更享譽全球。香港空貿行業蓬勃，每年為本港帶來超過港幣874億元總收入，當中526億元為貨運收入，並帶來超過28,000個就業機會</w:t>
      </w:r>
      <w:r w:rsidRPr="001730BE">
        <w:rPr>
          <w:rFonts w:ascii="微軟正黑體" w:eastAsia="微軟正黑體" w:hAnsi="微軟正黑體" w:hint="eastAsia"/>
          <w:color w:val="000000" w:themeColor="text1"/>
          <w:szCs w:val="24"/>
          <w:vertAlign w:val="superscript"/>
        </w:rPr>
        <w:t>(1)</w:t>
      </w:r>
      <w:r w:rsidRPr="001730BE">
        <w:rPr>
          <w:rFonts w:ascii="微軟正黑體" w:eastAsia="微軟正黑體" w:hAnsi="微軟正黑體" w:hint="eastAsia"/>
          <w:color w:val="000000" w:themeColor="text1"/>
          <w:szCs w:val="24"/>
        </w:rPr>
        <w:t>。</w:t>
      </w:r>
    </w:p>
    <w:p w14:paraId="27DF6DD6" w14:textId="77777777" w:rsidR="0079646F" w:rsidRPr="001730BE" w:rsidRDefault="0079646F" w:rsidP="00110D8E">
      <w:pPr>
        <w:jc w:val="both"/>
        <w:rPr>
          <w:rFonts w:ascii="微軟正黑體" w:eastAsia="微軟正黑體" w:hAnsi="微軟正黑體"/>
          <w:color w:val="000000" w:themeColor="text1"/>
          <w:szCs w:val="24"/>
        </w:rPr>
      </w:pPr>
    </w:p>
    <w:p w14:paraId="39BE726E"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62BFDEA" w14:textId="77777777" w:rsidR="00F31935" w:rsidRPr="001730BE" w:rsidRDefault="00F31935" w:rsidP="00F31935">
      <w:pPr>
        <w:jc w:val="both"/>
        <w:rPr>
          <w:rFonts w:ascii="微軟正黑體" w:eastAsia="微軟正黑體" w:hAnsi="微軟正黑體"/>
          <w:color w:val="000000" w:themeColor="text1"/>
          <w:szCs w:val="24"/>
        </w:rPr>
      </w:pPr>
    </w:p>
    <w:p w14:paraId="084C68E1" w14:textId="5A38A713" w:rsidR="0079646F"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2A9EC04B" w14:textId="77777777" w:rsidR="00F31935" w:rsidRPr="001730BE" w:rsidRDefault="00F31935" w:rsidP="00F31935">
      <w:pPr>
        <w:jc w:val="both"/>
        <w:rPr>
          <w:rFonts w:ascii="微軟正黑體" w:eastAsia="微軟正黑體" w:hAnsi="微軟正黑體"/>
          <w:color w:val="000000" w:themeColor="text1"/>
          <w:szCs w:val="24"/>
        </w:rPr>
      </w:pPr>
    </w:p>
    <w:p w14:paraId="339070E6"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「DHL香港空運貿易領先指數」（DTI）是香港首個供公眾參閱的空運貿易指數，為需要更多資源及市場資訊的本地中小企及企業提供市場情報和發展趨勢。</w:t>
      </w:r>
    </w:p>
    <w:p w14:paraId="7224A5EB" w14:textId="77777777" w:rsidR="00F31935" w:rsidRPr="001730BE" w:rsidRDefault="00F31935" w:rsidP="00F31935">
      <w:pPr>
        <w:jc w:val="both"/>
        <w:rPr>
          <w:rFonts w:ascii="微軟正黑體" w:eastAsia="微軟正黑體" w:hAnsi="微軟正黑體"/>
          <w:color w:val="000000" w:themeColor="text1"/>
          <w:szCs w:val="24"/>
        </w:rPr>
      </w:pPr>
    </w:p>
    <w:p w14:paraId="0B9965A8" w14:textId="4747F69B" w:rsidR="00B224AB"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首個DHL香港空運貿易領先指數調查於2014年第二季度展開，並定期按季度向公眾發表。</w:t>
      </w:r>
    </w:p>
    <w:p w14:paraId="0944D52E" w14:textId="77777777" w:rsidR="00A37ECD" w:rsidRPr="001730BE" w:rsidRDefault="00A37ECD" w:rsidP="00A37ECD">
      <w:pPr>
        <w:jc w:val="both"/>
        <w:rPr>
          <w:rFonts w:ascii="微軟正黑體" w:eastAsia="微軟正黑體" w:hAnsi="微軟正黑體"/>
          <w:color w:val="000000" w:themeColor="text1"/>
          <w:szCs w:val="24"/>
        </w:rPr>
      </w:pPr>
    </w:p>
    <w:p w14:paraId="30B2FDFC" w14:textId="77777777" w:rsidR="00A37ECD" w:rsidRPr="001730BE" w:rsidRDefault="00A37ECD" w:rsidP="00A37ECD">
      <w:pPr>
        <w:jc w:val="both"/>
        <w:rPr>
          <w:rFonts w:ascii="微軟正黑體" w:eastAsia="微軟正黑體" w:hAnsi="微軟正黑體"/>
          <w:color w:val="000000" w:themeColor="text1"/>
          <w:sz w:val="16"/>
          <w:szCs w:val="16"/>
        </w:rPr>
      </w:pPr>
      <w:r w:rsidRPr="001730BE">
        <w:rPr>
          <w:rFonts w:ascii="微軟正黑體" w:eastAsia="微軟正黑體" w:hAnsi="微軟正黑體"/>
          <w:color w:val="000000" w:themeColor="text1"/>
          <w:sz w:val="16"/>
          <w:szCs w:val="16"/>
          <w:vertAlign w:val="superscript"/>
        </w:rPr>
        <w:t>(1)</w:t>
      </w:r>
      <w:r w:rsidRPr="001730BE">
        <w:rPr>
          <w:rFonts w:ascii="微軟正黑體" w:eastAsia="微軟正黑體" w:hAnsi="微軟正黑體"/>
          <w:color w:val="000000" w:themeColor="text1"/>
          <w:sz w:val="16"/>
          <w:szCs w:val="16"/>
        </w:rPr>
        <w:t xml:space="preserve"> 2022</w:t>
      </w:r>
      <w:r w:rsidRPr="001730BE">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1730BE" w:rsidRDefault="0079646F" w:rsidP="007163A4">
      <w:pPr>
        <w:jc w:val="both"/>
        <w:rPr>
          <w:rFonts w:ascii="微軟正黑體" w:eastAsia="微軟正黑體" w:hAnsi="微軟正黑體"/>
          <w:color w:val="000000" w:themeColor="text1"/>
          <w:szCs w:val="24"/>
        </w:rPr>
      </w:pPr>
    </w:p>
    <w:p w14:paraId="5015F1D4"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研究方法</w:t>
      </w:r>
    </w:p>
    <w:p w14:paraId="6324AE6D" w14:textId="3517EB4C" w:rsidR="009055BA" w:rsidRPr="001730BE" w:rsidRDefault="00F31935" w:rsidP="007163A4">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3A26AF1B" w14:textId="77777777" w:rsidR="00F31935" w:rsidRPr="001730BE" w:rsidRDefault="00F31935" w:rsidP="007163A4">
      <w:pPr>
        <w:jc w:val="both"/>
        <w:rPr>
          <w:rFonts w:ascii="微軟正黑體" w:eastAsia="微軟正黑體" w:hAnsi="微軟正黑體"/>
          <w:color w:val="000000" w:themeColor="text1"/>
          <w:szCs w:val="24"/>
        </w:rPr>
      </w:pPr>
    </w:p>
    <w:p w14:paraId="79DCDE1B"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指數導讀</w:t>
      </w:r>
    </w:p>
    <w:p w14:paraId="6FEEB458"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指數顯示50以上代表正面的前景展望，指數在50以下則代表負面的前景展望。</w:t>
      </w:r>
    </w:p>
    <w:p w14:paraId="6A01BEA3" w14:textId="77777777" w:rsidR="00F31935" w:rsidRPr="001730BE" w:rsidRDefault="00F31935" w:rsidP="00F31935">
      <w:pPr>
        <w:jc w:val="both"/>
        <w:rPr>
          <w:rFonts w:ascii="微軟正黑體" w:eastAsia="微軟正黑體" w:hAnsi="微軟正黑體"/>
          <w:color w:val="000000" w:themeColor="text1"/>
          <w:szCs w:val="24"/>
        </w:rPr>
      </w:pPr>
    </w:p>
    <w:p w14:paraId="63381E41" w14:textId="338982B7" w:rsidR="00B224AB"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指數距離 50 愈遠，表示對前景的展望愈見正面或負面。</w:t>
      </w:r>
    </w:p>
    <w:p w14:paraId="20BD1C91" w14:textId="77777777" w:rsidR="00A37ECD" w:rsidRPr="001730BE" w:rsidRDefault="00A37ECD">
      <w:pPr>
        <w:widowControl/>
        <w:rPr>
          <w:rFonts w:ascii="微軟正黑體" w:eastAsia="微軟正黑體" w:hAnsi="微軟正黑體"/>
          <w:b/>
          <w:color w:val="000000" w:themeColor="text1"/>
          <w:szCs w:val="24"/>
        </w:rPr>
      </w:pPr>
      <w:r w:rsidRPr="001730BE">
        <w:rPr>
          <w:rFonts w:ascii="微軟正黑體" w:eastAsia="微軟正黑體" w:hAnsi="微軟正黑體"/>
          <w:b/>
          <w:color w:val="000000" w:themeColor="text1"/>
          <w:szCs w:val="24"/>
        </w:rPr>
        <w:br w:type="page"/>
      </w:r>
    </w:p>
    <w:p w14:paraId="636DD23D" w14:textId="5DC66FD5"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lastRenderedPageBreak/>
        <w:t>受訪者背景</w:t>
      </w:r>
    </w:p>
    <w:p w14:paraId="26A13B47" w14:textId="6C2E4C01" w:rsidR="00F31935" w:rsidRPr="001730BE" w:rsidRDefault="00F31935" w:rsidP="00B224AB">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貨件及不屬上述種類的商品）。</w:t>
      </w:r>
    </w:p>
    <w:p w14:paraId="4F99F782" w14:textId="77777777" w:rsidR="00B224AB" w:rsidRPr="001730BE" w:rsidRDefault="00B224AB" w:rsidP="00B224AB">
      <w:pPr>
        <w:jc w:val="both"/>
        <w:rPr>
          <w:rFonts w:ascii="微軟正黑體" w:eastAsia="微軟正黑體" w:hAnsi="微軟正黑體"/>
          <w:color w:val="000000" w:themeColor="text1"/>
          <w:szCs w:val="24"/>
        </w:rPr>
      </w:pPr>
    </w:p>
    <w:p w14:paraId="4EEE082B" w14:textId="32147024" w:rsidR="00F31935" w:rsidRPr="001730BE" w:rsidRDefault="00F31935" w:rsidP="00B224AB">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自2014年第二季首次進行調查起，每季從超過10,000個調研對象中隨機抽選以進行電話訪問，收集超過600個受訪者對空運的展望。調查樣本以企業及商品為單位，未有就各企業的生意規模進行加權調整。</w:t>
      </w:r>
    </w:p>
    <w:p w14:paraId="25CB86A1" w14:textId="77777777" w:rsidR="00672EEE" w:rsidRPr="001730BE" w:rsidRDefault="00672EEE">
      <w:pPr>
        <w:widowControl/>
        <w:rPr>
          <w:rFonts w:ascii="微軟正黑體" w:eastAsia="微軟正黑體" w:hAnsi="微軟正黑體"/>
          <w:b/>
          <w:color w:val="000000" w:themeColor="text1"/>
          <w:szCs w:val="24"/>
        </w:rPr>
      </w:pPr>
      <w:r w:rsidRPr="001730BE">
        <w:rPr>
          <w:rFonts w:ascii="微軟正黑體" w:eastAsia="微軟正黑體" w:hAnsi="微軟正黑體"/>
          <w:b/>
          <w:color w:val="000000" w:themeColor="text1"/>
          <w:szCs w:val="24"/>
        </w:rPr>
        <w:br w:type="page"/>
      </w:r>
    </w:p>
    <w:p w14:paraId="7249FA69" w14:textId="2FFD5C52" w:rsidR="00F04785" w:rsidRPr="001730BE" w:rsidRDefault="00F04785"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lastRenderedPageBreak/>
        <w:t>本季撮要</w:t>
      </w:r>
    </w:p>
    <w:p w14:paraId="1B187D91" w14:textId="77777777" w:rsidR="00F04785" w:rsidRPr="001730BE" w:rsidRDefault="00F04785" w:rsidP="003A51DD">
      <w:pPr>
        <w:jc w:val="both"/>
        <w:rPr>
          <w:rFonts w:ascii="微軟正黑體" w:eastAsia="微軟正黑體" w:hAnsi="微軟正黑體"/>
          <w:b/>
          <w:color w:val="000000" w:themeColor="text1"/>
          <w:szCs w:val="24"/>
        </w:rPr>
      </w:pPr>
    </w:p>
    <w:p w14:paraId="7FAD2718" w14:textId="05AB2C77" w:rsidR="00F31935" w:rsidRPr="001730BE" w:rsidRDefault="00F31935" w:rsidP="00865A12">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2024年第四季的整體空運指數的展望較為複雜。整體空運指數顯示下降的趨勢，惟大部份本地空運用家預期傳統旺季將較去年強勁或持平。</w:t>
      </w:r>
    </w:p>
    <w:p w14:paraId="31013E1E" w14:textId="77777777" w:rsidR="00210B7B" w:rsidRPr="001730BE" w:rsidRDefault="00210B7B" w:rsidP="00DC1614">
      <w:pPr>
        <w:jc w:val="both"/>
        <w:rPr>
          <w:rFonts w:ascii="微軟正黑體" w:eastAsia="微軟正黑體" w:hAnsi="微軟正黑體"/>
          <w:b/>
          <w:color w:val="000000" w:themeColor="text1"/>
          <w:szCs w:val="24"/>
          <w:lang w:eastAsia="zh-HK"/>
        </w:rPr>
      </w:pPr>
    </w:p>
    <w:p w14:paraId="6AE2F15C" w14:textId="77777777" w:rsidR="00F31935" w:rsidRPr="001730BE" w:rsidRDefault="00F31935" w:rsidP="00F31935">
      <w:pPr>
        <w:pStyle w:val="ListParagraph"/>
        <w:numPr>
          <w:ilvl w:val="0"/>
          <w:numId w:val="3"/>
        </w:numPr>
        <w:ind w:leftChars="0"/>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整體空運指數顯著下降6點，出口／轉口及入口均錄得下跌，其中入口指數的跌幅較為顯著（-8.7點）。</w:t>
      </w:r>
    </w:p>
    <w:p w14:paraId="1F5257FA" w14:textId="77777777" w:rsidR="00F31935" w:rsidRPr="001730BE" w:rsidRDefault="00F31935" w:rsidP="00F31935">
      <w:pPr>
        <w:pStyle w:val="ListParagraph"/>
        <w:numPr>
          <w:ilvl w:val="0"/>
          <w:numId w:val="3"/>
        </w:numPr>
        <w:ind w:leftChars="0"/>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與往年相若，約70%本地空運用家對即將到來的傳統旺季（感恩節及聖誕前夕）持正面或中立的展望；其中20%本地空運用家持正面展望，49%維持中立。</w:t>
      </w:r>
    </w:p>
    <w:p w14:paraId="3505C78B" w14:textId="77777777" w:rsidR="00F31935" w:rsidRPr="005C668D" w:rsidRDefault="00F31935" w:rsidP="00F31935">
      <w:pPr>
        <w:pStyle w:val="ListParagraph"/>
        <w:numPr>
          <w:ilvl w:val="0"/>
          <w:numId w:val="3"/>
        </w:numPr>
        <w:ind w:leftChars="0"/>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網上零售業務</w:t>
      </w:r>
      <w:r w:rsidRPr="005C668D">
        <w:rPr>
          <w:rFonts w:ascii="微軟正黑體" w:eastAsia="微軟正黑體" w:hAnsi="微軟正黑體" w:hint="eastAsia"/>
          <w:color w:val="000000" w:themeColor="text1"/>
          <w:szCs w:val="24"/>
        </w:rPr>
        <w:t>指數出現產品種類上升（+2.2點）而銷售量下降（-1.8點）的現象，反映出款多量少是市場新趨勢。</w:t>
      </w:r>
    </w:p>
    <w:p w14:paraId="2EC6A831" w14:textId="2DDF2A2B" w:rsidR="005C668D" w:rsidRPr="005C668D" w:rsidRDefault="005C668D" w:rsidP="00F92E9D">
      <w:pPr>
        <w:pStyle w:val="ListParagraph"/>
        <w:numPr>
          <w:ilvl w:val="0"/>
          <w:numId w:val="3"/>
        </w:numPr>
        <w:ind w:leftChars="0"/>
        <w:rPr>
          <w:rFonts w:ascii="微軟正黑體" w:eastAsia="微軟正黑體" w:hAnsi="微軟正黑體"/>
          <w:color w:val="000000" w:themeColor="text1"/>
          <w:szCs w:val="24"/>
        </w:rPr>
      </w:pPr>
      <w:r w:rsidRPr="005C668D">
        <w:rPr>
          <w:rFonts w:ascii="微軟正黑體" w:eastAsia="微軟正黑體" w:hAnsi="微軟正黑體" w:hint="eastAsia"/>
          <w:color w:val="000000" w:themeColor="text1"/>
          <w:szCs w:val="24"/>
        </w:rPr>
        <w:t>對於2025年的價格調整，約三分之一的空運用家表示會以慣常幅度調整價格（35%），另外有5%表示會比慣常較大程度地上調價格。</w:t>
      </w:r>
    </w:p>
    <w:p w14:paraId="55F9FA44" w14:textId="77777777" w:rsidR="00F31935" w:rsidRPr="005C668D" w:rsidRDefault="00F31935" w:rsidP="00F31935">
      <w:pPr>
        <w:pStyle w:val="ListParagraph"/>
        <w:numPr>
          <w:ilvl w:val="0"/>
          <w:numId w:val="3"/>
        </w:numPr>
        <w:ind w:leftChars="0"/>
        <w:rPr>
          <w:rFonts w:ascii="微軟正黑體" w:eastAsia="微軟正黑體" w:hAnsi="微軟正黑體"/>
          <w:color w:val="000000" w:themeColor="text1"/>
          <w:szCs w:val="24"/>
        </w:rPr>
      </w:pPr>
      <w:r w:rsidRPr="005C668D">
        <w:rPr>
          <w:rFonts w:ascii="微軟正黑體" w:eastAsia="微軟正黑體" w:hAnsi="微軟正黑體" w:hint="eastAsia"/>
          <w:color w:val="000000" w:themeColor="text1"/>
          <w:szCs w:val="24"/>
        </w:rPr>
        <w:t>在調查2025年最具發展潛力市場方面，空運用家仍然認為亞洲市場較有潛力，而中國仍然為首選，馬來西亞及泰國排名第二，越南排名第三。</w:t>
      </w:r>
    </w:p>
    <w:p w14:paraId="4B3C0D22" w14:textId="29053047" w:rsidR="00F31935" w:rsidRPr="001730BE" w:rsidRDefault="00F31935" w:rsidP="00051C07">
      <w:pPr>
        <w:pStyle w:val="ListParagraph"/>
        <w:numPr>
          <w:ilvl w:val="0"/>
          <w:numId w:val="3"/>
        </w:numPr>
        <w:ind w:leftChars="0"/>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就2024年整體而言，願意參與減少碳排放的空運用家平均達到75%，較2023年的65%上升了10個百分點，顯示出空運用戶對減少碳排放的重視程度顯著提升。</w:t>
      </w:r>
    </w:p>
    <w:p w14:paraId="6E4F139B" w14:textId="77777777" w:rsidR="00F04785" w:rsidRPr="001730BE" w:rsidRDefault="00F04785" w:rsidP="00DC1614">
      <w:pPr>
        <w:jc w:val="both"/>
        <w:rPr>
          <w:rFonts w:ascii="微軟正黑體" w:eastAsia="微軟正黑體" w:hAnsi="微軟正黑體"/>
          <w:color w:val="000000" w:themeColor="text1"/>
          <w:szCs w:val="24"/>
        </w:rPr>
      </w:pPr>
    </w:p>
    <w:p w14:paraId="51AB5D16" w14:textId="65A44992" w:rsidR="00C33713" w:rsidRPr="001730BE" w:rsidRDefault="00F31935" w:rsidP="00DC1614">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生產力局首席數碼總監黎少斌先生表示：「2024年第四季空運貿易指數下降6點，當中入口指數跌幅較明顯（-8.7點），顯示空運用家信心減弱。市場指數普遍回落，特別是歐洲跌幅反映經濟衰退。對於來年的計劃，本地空運用家在2025年的定價亦較保守，超過一半的本地用家於訂單不足及市場競爭加劇情況下未有提高價格的意欲；在調查2025年最具發展潛力市場方面，有11%空運用家認為中國仍然是最具發展潛力的單一市場。另外網上零售業務指數可見產品種類上升而銷售量下降的現象，反映出款多量少是市場新趨勢，小單量、客製化成新常態。</w:t>
      </w:r>
    </w:p>
    <w:p w14:paraId="2F1ED1CB" w14:textId="77777777" w:rsidR="00F31935" w:rsidRPr="001730BE" w:rsidRDefault="00F31935" w:rsidP="00DC1614">
      <w:pPr>
        <w:jc w:val="both"/>
        <w:rPr>
          <w:rFonts w:ascii="微軟正黑體" w:eastAsia="微軟正黑體" w:hAnsi="微軟正黑體"/>
          <w:color w:val="000000" w:themeColor="text1"/>
          <w:szCs w:val="24"/>
        </w:rPr>
      </w:pPr>
    </w:p>
    <w:p w14:paraId="57F6241E" w14:textId="15E49B7B" w:rsidR="00F31935" w:rsidRPr="001730BE" w:rsidRDefault="00F31935" w:rsidP="00DC1614">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在可持續發展方面，今年整體願意參與減少碳排放的空運用家比去年下半年上升10個百分點，突顯企業朝向綠色營運的正面趨勢。儘管如此，未參與減排的本地空運用家中（30%），有一半因缺乏ESG實施而未行動，表明企業可能缺乏所需的框架、政策或戰略以應對挑戰。為此，香港生產力促進局將支持企業設置合適的ESG目標，通過其ESG One平台提供全面的支持及資源，同時亦透過應用創新技術及方案，協助企業遵守監管要求並實現環境與經濟效益。」</w:t>
      </w:r>
    </w:p>
    <w:p w14:paraId="6305020D" w14:textId="77777777" w:rsidR="00F31935" w:rsidRPr="001730BE" w:rsidRDefault="00F31935" w:rsidP="00DC1614">
      <w:pPr>
        <w:jc w:val="both"/>
        <w:rPr>
          <w:rFonts w:ascii="微軟正黑體" w:eastAsia="微軟正黑體" w:hAnsi="微軟正黑體"/>
          <w:color w:val="000000" w:themeColor="text1"/>
          <w:szCs w:val="24"/>
        </w:rPr>
      </w:pPr>
    </w:p>
    <w:p w14:paraId="7D729124" w14:textId="6BB24CBB" w:rsidR="00124B29" w:rsidRPr="001730BE" w:rsidRDefault="006E4F3C"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整體空運貿易指數</w:t>
      </w:r>
    </w:p>
    <w:p w14:paraId="43751441" w14:textId="6AFDAAD5" w:rsidR="00F31935" w:rsidRPr="001730BE" w:rsidRDefault="00F31935"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2024第四季的整體空運指數下跌6.0點至35.2點，出口／轉口及入口指數於連續兩季的增長後均出現跌幅，下跌至2023年以來的最低水平，其中入口指數</w:t>
      </w:r>
      <w:r w:rsidRPr="001730BE">
        <w:rPr>
          <w:rFonts w:ascii="微軟正黑體" w:eastAsia="微軟正黑體" w:hAnsi="微軟正黑體" w:hint="eastAsia"/>
          <w:b/>
          <w:color w:val="000000" w:themeColor="text1"/>
          <w:szCs w:val="24"/>
        </w:rPr>
        <w:lastRenderedPageBreak/>
        <w:t>的跌幅最為顯著，這趨勢顯示空運用家對前景的信心有所下降。</w:t>
      </w:r>
    </w:p>
    <w:p w14:paraId="5DA7A984" w14:textId="77777777" w:rsidR="002446D0" w:rsidRPr="001730BE" w:rsidRDefault="002446D0" w:rsidP="00DC1614">
      <w:pPr>
        <w:jc w:val="both"/>
        <w:rPr>
          <w:rFonts w:ascii="微軟正黑體" w:eastAsia="微軟正黑體" w:hAnsi="微軟正黑體"/>
          <w:b/>
          <w:color w:val="000000" w:themeColor="text1"/>
          <w:szCs w:val="24"/>
        </w:rPr>
      </w:pPr>
    </w:p>
    <w:p w14:paraId="042A7887" w14:textId="77777777" w:rsidR="00F31935" w:rsidRPr="001730BE" w:rsidRDefault="00F31935" w:rsidP="00F31935">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繼上一季的輕微增長後，</w:t>
      </w:r>
      <w:r w:rsidRPr="001730BE">
        <w:rPr>
          <w:rFonts w:ascii="微軟正黑體" w:eastAsia="微軟正黑體" w:hAnsi="微軟正黑體" w:hint="eastAsia"/>
          <w:b/>
          <w:color w:val="000000" w:themeColor="text1"/>
          <w:szCs w:val="24"/>
        </w:rPr>
        <w:t>整體空運指數</w:t>
      </w:r>
      <w:r w:rsidRPr="001730BE">
        <w:rPr>
          <w:rFonts w:ascii="微軟正黑體" w:eastAsia="微軟正黑體" w:hAnsi="微軟正黑體" w:hint="eastAsia"/>
          <w:bCs/>
          <w:color w:val="000000" w:themeColor="text1"/>
          <w:szCs w:val="24"/>
        </w:rPr>
        <w:t>於2024年第四季下跌6.0點至35.2點。入口及出口／轉口均錄得下跌，其中入口指數的跌幅較為顯著（-8.7點）。</w:t>
      </w:r>
    </w:p>
    <w:p w14:paraId="6C5E8E62" w14:textId="77777777" w:rsidR="00F31935" w:rsidRPr="001730BE" w:rsidRDefault="00F31935" w:rsidP="00F31935">
      <w:pPr>
        <w:jc w:val="both"/>
        <w:rPr>
          <w:rFonts w:ascii="微軟正黑體" w:eastAsia="微軟正黑體" w:hAnsi="微軟正黑體"/>
          <w:bCs/>
          <w:color w:val="000000" w:themeColor="text1"/>
          <w:szCs w:val="24"/>
        </w:rPr>
      </w:pPr>
    </w:p>
    <w:p w14:paraId="0289406A" w14:textId="77777777" w:rsidR="00F31935" w:rsidRPr="001730BE" w:rsidRDefault="00F31935" w:rsidP="00F31935">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經歷連續兩季的增長後，</w:t>
      </w:r>
      <w:r w:rsidRPr="001730BE">
        <w:rPr>
          <w:rFonts w:ascii="微軟正黑體" w:eastAsia="微軟正黑體" w:hAnsi="微軟正黑體" w:hint="eastAsia"/>
          <w:b/>
          <w:color w:val="000000" w:themeColor="text1"/>
          <w:szCs w:val="24"/>
        </w:rPr>
        <w:t>出口／轉口指數</w:t>
      </w:r>
      <w:r w:rsidRPr="001730BE">
        <w:rPr>
          <w:rFonts w:ascii="微軟正黑體" w:eastAsia="微軟正黑體" w:hAnsi="微軟正黑體" w:hint="eastAsia"/>
          <w:bCs/>
          <w:color w:val="000000" w:themeColor="text1"/>
          <w:szCs w:val="24"/>
        </w:rPr>
        <w:t>於2024年第四季下跌4.2點。儘管錄得下跌，但其表現仍優於2024年第一季。</w:t>
      </w:r>
    </w:p>
    <w:p w14:paraId="6678CAE4" w14:textId="77777777" w:rsidR="00F31935" w:rsidRPr="001730BE" w:rsidRDefault="00F31935" w:rsidP="00F31935">
      <w:pPr>
        <w:jc w:val="both"/>
        <w:rPr>
          <w:rFonts w:ascii="微軟正黑體" w:eastAsia="微軟正黑體" w:hAnsi="微軟正黑體"/>
          <w:bCs/>
          <w:color w:val="000000" w:themeColor="text1"/>
          <w:szCs w:val="24"/>
        </w:rPr>
      </w:pPr>
    </w:p>
    <w:p w14:paraId="176C488C" w14:textId="2E07DF41" w:rsidR="005C3FBF" w:rsidRPr="001730BE" w:rsidRDefault="00F31935" w:rsidP="00F31935">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至於</w:t>
      </w:r>
      <w:r w:rsidRPr="001730BE">
        <w:rPr>
          <w:rFonts w:ascii="微軟正黑體" w:eastAsia="微軟正黑體" w:hAnsi="微軟正黑體" w:hint="eastAsia"/>
          <w:b/>
          <w:color w:val="000000" w:themeColor="text1"/>
          <w:szCs w:val="24"/>
        </w:rPr>
        <w:t>入口指數</w:t>
      </w:r>
      <w:r w:rsidRPr="001730BE">
        <w:rPr>
          <w:rFonts w:ascii="微軟正黑體" w:eastAsia="微軟正黑體" w:hAnsi="微軟正黑體" w:hint="eastAsia"/>
          <w:bCs/>
          <w:color w:val="000000" w:themeColor="text1"/>
          <w:szCs w:val="24"/>
        </w:rPr>
        <w:t>在經歷兩季的增長後，出現8.7點的顯著跌幅，下跌至34.0點。</w:t>
      </w:r>
    </w:p>
    <w:p w14:paraId="056625C7" w14:textId="77777777" w:rsidR="00F31935" w:rsidRPr="001730BE" w:rsidRDefault="00F31935" w:rsidP="008E571C">
      <w:pPr>
        <w:jc w:val="both"/>
        <w:rPr>
          <w:rFonts w:ascii="微軟正黑體" w:eastAsia="微軟正黑體" w:hAnsi="微軟正黑體"/>
          <w:bCs/>
          <w:color w:val="000000" w:themeColor="text1"/>
          <w:szCs w:val="24"/>
        </w:rPr>
      </w:pPr>
    </w:p>
    <w:p w14:paraId="078320C2" w14:textId="77E1CCB1" w:rsidR="00DC1614" w:rsidRPr="001730BE" w:rsidRDefault="00DC1614"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市場</w:t>
      </w:r>
    </w:p>
    <w:p w14:paraId="5374C2BC" w14:textId="0FE3F90F" w:rsidR="00F31935" w:rsidRPr="001730BE" w:rsidRDefault="00F31935"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各個市場指數於2024年第四季均出現不同程度的回落。美洲指數於本季錄得下跌；然而，其表現仍優於2024年上半年，而歐洲指數在一眾市場當中，入口及出口／轉口方面均錄得最大跌幅。亞太地區指數進一步下跌，主要受中國地區的顯著跌幅所致。日本指數下跌至2023年第一季的水平，主要受出口／轉口的顯著跌幅所致。</w:t>
      </w:r>
    </w:p>
    <w:p w14:paraId="2CEAFCF8" w14:textId="77777777" w:rsidR="000D6E8A" w:rsidRPr="001730BE" w:rsidRDefault="000D6E8A" w:rsidP="00DC1614">
      <w:pPr>
        <w:jc w:val="both"/>
        <w:rPr>
          <w:rFonts w:ascii="微軟正黑體" w:eastAsia="微軟正黑體" w:hAnsi="微軟正黑體"/>
          <w:b/>
          <w:color w:val="000000" w:themeColor="text1"/>
          <w:szCs w:val="24"/>
        </w:rPr>
      </w:pPr>
    </w:p>
    <w:p w14:paraId="169517EF" w14:textId="3BB3F8BF" w:rsidR="00F31935" w:rsidRPr="001730BE" w:rsidRDefault="00F31935" w:rsidP="00C33713">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美洲</w:t>
      </w:r>
      <w:r w:rsidRPr="001730BE">
        <w:rPr>
          <w:rFonts w:ascii="微軟正黑體" w:eastAsia="微軟正黑體" w:hAnsi="微軟正黑體" w:hint="eastAsia"/>
          <w:bCs/>
          <w:color w:val="000000" w:themeColor="text1"/>
          <w:szCs w:val="24"/>
        </w:rPr>
        <w:t>指數下跌3點至39點。儘管本季錄得跌幅，但其表現仍然優於2024上半年。</w:t>
      </w:r>
    </w:p>
    <w:p w14:paraId="4B56702A" w14:textId="77777777" w:rsidR="005C3FBF" w:rsidRPr="001730BE" w:rsidRDefault="005C3FBF" w:rsidP="00C33713">
      <w:pPr>
        <w:jc w:val="both"/>
        <w:rPr>
          <w:rFonts w:ascii="微軟正黑體" w:eastAsia="微軟正黑體" w:hAnsi="微軟正黑體"/>
          <w:bCs/>
          <w:color w:val="000000" w:themeColor="text1"/>
          <w:szCs w:val="24"/>
        </w:rPr>
      </w:pPr>
    </w:p>
    <w:p w14:paraId="038804B0" w14:textId="77777777" w:rsidR="00F31935" w:rsidRPr="001730BE" w:rsidRDefault="00F31935" w:rsidP="00F31935">
      <w:pPr>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亞太地區</w:t>
      </w:r>
      <w:r w:rsidRPr="001730BE">
        <w:rPr>
          <w:rFonts w:ascii="微軟正黑體" w:eastAsia="微軟正黑體" w:hAnsi="微軟正黑體" w:hint="eastAsia"/>
          <w:bCs/>
          <w:color w:val="000000" w:themeColor="text1"/>
          <w:szCs w:val="24"/>
        </w:rPr>
        <w:t>指數進一步下跌3點至34點，主要受其他亞太地區及中國入口方面的負面影響所致：</w:t>
      </w:r>
    </w:p>
    <w:p w14:paraId="14287FD9" w14:textId="77777777" w:rsidR="00F31935" w:rsidRPr="001730BE" w:rsidRDefault="00F31935" w:rsidP="00F31935">
      <w:pPr>
        <w:pStyle w:val="ListParagraph"/>
        <w:numPr>
          <w:ilvl w:val="0"/>
          <w:numId w:val="3"/>
        </w:numPr>
        <w:ind w:leftChars="0"/>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中國</w:t>
      </w:r>
      <w:r w:rsidRPr="001730BE">
        <w:rPr>
          <w:rFonts w:ascii="微軟正黑體" w:eastAsia="微軟正黑體" w:hAnsi="微軟正黑體" w:hint="eastAsia"/>
          <w:bCs/>
          <w:color w:val="000000" w:themeColor="text1"/>
          <w:szCs w:val="24"/>
        </w:rPr>
        <w:t>指數錄得顯著跌幅（-7點），下跌至32點，重回2024年第一季的水平。</w:t>
      </w:r>
    </w:p>
    <w:p w14:paraId="70BD6C3D" w14:textId="77777777" w:rsidR="00F31935" w:rsidRPr="001730BE" w:rsidRDefault="00F31935" w:rsidP="00F31935">
      <w:pPr>
        <w:pStyle w:val="ListParagraph"/>
        <w:numPr>
          <w:ilvl w:val="0"/>
          <w:numId w:val="3"/>
        </w:numPr>
        <w:ind w:leftChars="0"/>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其他亞太地區</w:t>
      </w:r>
      <w:r w:rsidRPr="001730BE">
        <w:rPr>
          <w:rFonts w:ascii="微軟正黑體" w:eastAsia="微軟正黑體" w:hAnsi="微軟正黑體" w:hint="eastAsia"/>
          <w:bCs/>
          <w:color w:val="000000" w:themeColor="text1"/>
          <w:szCs w:val="24"/>
        </w:rPr>
        <w:t>指數進一步下跌1點，其跌幅主要受入口方面的下跌所致（-11點）。另外，出口／轉口方面則輕微上升5點。</w:t>
      </w:r>
    </w:p>
    <w:p w14:paraId="429CB3AF" w14:textId="18E44801" w:rsidR="00F31935" w:rsidRPr="001730BE" w:rsidRDefault="00F31935" w:rsidP="00F31935">
      <w:pPr>
        <w:pStyle w:val="ListParagraph"/>
        <w:numPr>
          <w:ilvl w:val="0"/>
          <w:numId w:val="3"/>
        </w:numPr>
        <w:ind w:leftChars="0"/>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日本</w:t>
      </w:r>
      <w:r w:rsidRPr="001730BE">
        <w:rPr>
          <w:rFonts w:ascii="微軟正黑體" w:eastAsia="微軟正黑體" w:hAnsi="微軟正黑體" w:hint="eastAsia"/>
          <w:bCs/>
          <w:color w:val="000000" w:themeColor="text1"/>
          <w:szCs w:val="24"/>
        </w:rPr>
        <w:t>指數下跌2點至34點，重回2023年第一季的水平。是次整體下跌趨勢受2024年第四季的出口／轉口指數方面的7點跌幅所致。然而，入口方面呈現1點輕微升幅。</w:t>
      </w:r>
    </w:p>
    <w:p w14:paraId="4EBA54F9" w14:textId="77777777" w:rsidR="005C3FBF" w:rsidRPr="001730BE" w:rsidRDefault="005C3FBF" w:rsidP="005C3FBF">
      <w:pPr>
        <w:jc w:val="both"/>
        <w:rPr>
          <w:rFonts w:ascii="微軟正黑體" w:eastAsia="微軟正黑體" w:hAnsi="微軟正黑體"/>
          <w:bCs/>
          <w:color w:val="000000" w:themeColor="text1"/>
          <w:szCs w:val="24"/>
        </w:rPr>
      </w:pPr>
    </w:p>
    <w:p w14:paraId="2E107D2F" w14:textId="27CFF816"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繼上一季的強勁復甦後，</w:t>
      </w:r>
      <w:r w:rsidRPr="001730BE">
        <w:rPr>
          <w:rFonts w:ascii="微軟正黑體" w:eastAsia="微軟正黑體" w:hAnsi="微軟正黑體" w:hint="eastAsia"/>
          <w:b/>
          <w:color w:val="000000" w:themeColor="text1"/>
          <w:szCs w:val="24"/>
        </w:rPr>
        <w:t>歐洲</w:t>
      </w:r>
      <w:r w:rsidRPr="001730BE">
        <w:rPr>
          <w:rFonts w:ascii="微軟正黑體" w:eastAsia="微軟正黑體" w:hAnsi="微軟正黑體" w:hint="eastAsia"/>
          <w:bCs/>
          <w:color w:val="000000" w:themeColor="text1"/>
          <w:szCs w:val="24"/>
        </w:rPr>
        <w:t>指數於2024年第四季錄得顯著跌幅，下跌至34點（-12點）。出口／轉口及入口方面均有明顯下降，分別錄得11及12點的跌幅，是所有地區中的最大跌幅。</w:t>
      </w:r>
    </w:p>
    <w:p w14:paraId="78D8028F" w14:textId="77777777" w:rsidR="005C3FBF" w:rsidRPr="001730BE" w:rsidRDefault="005C3FBF" w:rsidP="005C3FBF">
      <w:pPr>
        <w:jc w:val="both"/>
        <w:rPr>
          <w:rFonts w:ascii="微軟正黑體" w:eastAsia="微軟正黑體" w:hAnsi="微軟正黑體"/>
          <w:bCs/>
          <w:color w:val="000000" w:themeColor="text1"/>
          <w:szCs w:val="24"/>
        </w:rPr>
      </w:pPr>
    </w:p>
    <w:p w14:paraId="5636D0D3" w14:textId="5646A10B"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其他地區</w:t>
      </w:r>
      <w:r w:rsidRPr="001730BE">
        <w:rPr>
          <w:rFonts w:ascii="微軟正黑體" w:eastAsia="微軟正黑體" w:hAnsi="微軟正黑體" w:hint="eastAsia"/>
          <w:bCs/>
          <w:color w:val="000000" w:themeColor="text1"/>
          <w:szCs w:val="24"/>
        </w:rPr>
        <w:t>指數上升2點至本季的38點。</w:t>
      </w:r>
    </w:p>
    <w:p w14:paraId="1290AA56" w14:textId="77777777" w:rsidR="00C33713" w:rsidRPr="001730BE" w:rsidRDefault="00C33713" w:rsidP="006761B3">
      <w:pPr>
        <w:jc w:val="both"/>
        <w:rPr>
          <w:rFonts w:ascii="微軟正黑體" w:eastAsia="微軟正黑體" w:hAnsi="微軟正黑體"/>
          <w:b/>
          <w:color w:val="000000" w:themeColor="text1"/>
          <w:szCs w:val="24"/>
        </w:rPr>
      </w:pPr>
    </w:p>
    <w:p w14:paraId="6D62DB0D" w14:textId="77777777" w:rsidR="00DC1614" w:rsidRPr="001730BE" w:rsidRDefault="00DC1614"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空運商品</w:t>
      </w:r>
    </w:p>
    <w:p w14:paraId="47C5AACE" w14:textId="7AC597E6" w:rsidR="00F31935" w:rsidRPr="001730BE" w:rsidRDefault="00F31935"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2024年第四季，禮品、玩具及家庭用品錄得輕微跌幅，但仍是本季表現最好的</w:t>
      </w:r>
      <w:r w:rsidRPr="001730BE">
        <w:rPr>
          <w:rFonts w:ascii="微軟正黑體" w:eastAsia="微軟正黑體" w:hAnsi="微軟正黑體" w:hint="eastAsia"/>
          <w:b/>
          <w:color w:val="000000" w:themeColor="text1"/>
          <w:szCs w:val="24"/>
        </w:rPr>
        <w:lastRenderedPageBreak/>
        <w:t>類別，同時亦高於去年同季水平。食物及飲料指數溫和復甦，受出口／轉口的上升所帶動。鐘錶及首飾指數下跌3點至35點，而電子產品及部件指數則大幅下跌12點至33點，相關負面表現受美國增加關稅所致。衣飾指數回落至2024年第一季的水平，主要受入口方面的跌幅影響。</w:t>
      </w:r>
    </w:p>
    <w:p w14:paraId="51200C70" w14:textId="77777777" w:rsidR="005C3FBF" w:rsidRPr="001730BE" w:rsidRDefault="005C3FBF" w:rsidP="00DC1614">
      <w:pPr>
        <w:jc w:val="both"/>
        <w:rPr>
          <w:rFonts w:ascii="微軟正黑體" w:eastAsia="微軟正黑體" w:hAnsi="微軟正黑體"/>
          <w:b/>
          <w:color w:val="000000" w:themeColor="text1"/>
          <w:szCs w:val="24"/>
        </w:rPr>
      </w:pPr>
    </w:p>
    <w:p w14:paraId="38215DA6" w14:textId="58D9C028"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禮品、玩具及家庭用品</w:t>
      </w:r>
      <w:r w:rsidRPr="001730BE">
        <w:rPr>
          <w:rFonts w:ascii="微軟正黑體" w:eastAsia="微軟正黑體" w:hAnsi="微軟正黑體" w:hint="eastAsia"/>
          <w:bCs/>
          <w:color w:val="000000" w:themeColor="text1"/>
          <w:szCs w:val="24"/>
        </w:rPr>
        <w:t>指數於2024年第四季輕微下跌2點至42點。儘管錄得下跌，但其仍然為本季表現最佳的空運商品類別，並且與去年同季相比錄得顯著改善（+5點）。</w:t>
      </w:r>
    </w:p>
    <w:p w14:paraId="39758546" w14:textId="77777777" w:rsidR="005C3FBF" w:rsidRPr="001730BE" w:rsidRDefault="005C3FBF" w:rsidP="005C3FBF">
      <w:pPr>
        <w:jc w:val="both"/>
        <w:rPr>
          <w:rFonts w:ascii="微軟正黑體" w:eastAsia="微軟正黑體" w:hAnsi="微軟正黑體"/>
          <w:bCs/>
          <w:color w:val="000000" w:themeColor="text1"/>
          <w:szCs w:val="24"/>
        </w:rPr>
      </w:pPr>
    </w:p>
    <w:p w14:paraId="7E782181" w14:textId="24122D2B"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自上季錄得兩年來的低位後，</w:t>
      </w:r>
      <w:r w:rsidRPr="001730BE">
        <w:rPr>
          <w:rFonts w:ascii="微軟正黑體" w:eastAsia="微軟正黑體" w:hAnsi="微軟正黑體" w:hint="eastAsia"/>
          <w:b/>
          <w:color w:val="000000" w:themeColor="text1"/>
          <w:szCs w:val="24"/>
        </w:rPr>
        <w:t>食物及飲料</w:t>
      </w:r>
      <w:r w:rsidRPr="001730BE">
        <w:rPr>
          <w:rFonts w:ascii="微軟正黑體" w:eastAsia="微軟正黑體" w:hAnsi="微軟正黑體" w:hint="eastAsia"/>
          <w:bCs/>
          <w:color w:val="000000" w:themeColor="text1"/>
          <w:szCs w:val="24"/>
        </w:rPr>
        <w:t>指數錄得輕微復甦，上升3點至39點。值得注意的是，出口／轉口方面對整體復甦的推動最為顯著，增幅達14點。</w:t>
      </w:r>
    </w:p>
    <w:p w14:paraId="01ADB660" w14:textId="77777777" w:rsidR="005C3FBF" w:rsidRPr="001730BE" w:rsidRDefault="005C3FBF" w:rsidP="005C3FBF">
      <w:pPr>
        <w:jc w:val="both"/>
        <w:rPr>
          <w:rFonts w:ascii="微軟正黑體" w:eastAsia="微軟正黑體" w:hAnsi="微軟正黑體"/>
          <w:bCs/>
          <w:color w:val="000000" w:themeColor="text1"/>
          <w:szCs w:val="24"/>
        </w:rPr>
      </w:pPr>
    </w:p>
    <w:p w14:paraId="636A0380" w14:textId="45A5181E"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鐘錶及首飾</w:t>
      </w:r>
      <w:r w:rsidRPr="001730BE">
        <w:rPr>
          <w:rFonts w:ascii="微軟正黑體" w:eastAsia="微軟正黑體" w:hAnsi="微軟正黑體" w:hint="eastAsia"/>
          <w:bCs/>
          <w:color w:val="000000" w:themeColor="text1"/>
          <w:szCs w:val="24"/>
        </w:rPr>
        <w:t>指數下跌3點至35點，重回2024年第一季的水平。入口及出口／轉口均錄得跌幅，以入口方面的跌幅較為顯著（-5點）。</w:t>
      </w:r>
    </w:p>
    <w:p w14:paraId="556721D1" w14:textId="77777777" w:rsidR="005C3FBF" w:rsidRPr="001730BE" w:rsidRDefault="005C3FBF" w:rsidP="005C3FBF">
      <w:pPr>
        <w:jc w:val="both"/>
        <w:rPr>
          <w:rFonts w:ascii="微軟正黑體" w:eastAsia="微軟正黑體" w:hAnsi="微軟正黑體"/>
          <w:bCs/>
          <w:color w:val="000000" w:themeColor="text1"/>
          <w:szCs w:val="24"/>
        </w:rPr>
      </w:pPr>
    </w:p>
    <w:p w14:paraId="443BD2AA" w14:textId="1D92A558"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
          <w:color w:val="000000" w:themeColor="text1"/>
          <w:szCs w:val="24"/>
        </w:rPr>
        <w:t>電子產品及部件</w:t>
      </w:r>
      <w:r w:rsidRPr="001730BE">
        <w:rPr>
          <w:rFonts w:ascii="微軟正黑體" w:eastAsia="微軟正黑體" w:hAnsi="微軟正黑體" w:hint="eastAsia"/>
          <w:bCs/>
          <w:color w:val="000000" w:themeColor="text1"/>
          <w:szCs w:val="24"/>
        </w:rPr>
        <w:t>指數亦錄得顯著跌幅，於本季下跌12點至33點，為本季度的最大跌幅，主要受入口方面的跌幅所致（-18點）。</w:t>
      </w:r>
    </w:p>
    <w:p w14:paraId="57FEECFC" w14:textId="77777777" w:rsidR="005C3FBF" w:rsidRPr="001730BE" w:rsidRDefault="005C3FBF" w:rsidP="005C3FBF">
      <w:pPr>
        <w:jc w:val="both"/>
        <w:rPr>
          <w:rFonts w:ascii="微軟正黑體" w:eastAsia="微軟正黑體" w:hAnsi="微軟正黑體"/>
          <w:bCs/>
          <w:color w:val="000000" w:themeColor="text1"/>
          <w:szCs w:val="24"/>
        </w:rPr>
      </w:pPr>
    </w:p>
    <w:p w14:paraId="1BD8DDE2" w14:textId="318DE5F5" w:rsidR="00F31935" w:rsidRPr="001730BE" w:rsidRDefault="00F31935" w:rsidP="005C3FBF">
      <w:pPr>
        <w:jc w:val="both"/>
        <w:rPr>
          <w:rFonts w:ascii="微軟正黑體" w:eastAsia="微軟正黑體" w:hAnsi="微軟正黑體"/>
          <w:bCs/>
          <w:color w:val="000000" w:themeColor="text1"/>
          <w:szCs w:val="24"/>
        </w:rPr>
      </w:pPr>
      <w:r w:rsidRPr="001730BE">
        <w:rPr>
          <w:rFonts w:ascii="微軟正黑體" w:eastAsia="微軟正黑體" w:hAnsi="微軟正黑體" w:hint="eastAsia"/>
          <w:bCs/>
          <w:color w:val="000000" w:themeColor="text1"/>
          <w:szCs w:val="24"/>
        </w:rPr>
        <w:t>經歷連續兩季的升幅後，衣飾指數於本季（31點）回落至與2024年第一季度（32點）相若的水平，主要受入口方面的顯著下跌所致（-18點）。</w:t>
      </w:r>
    </w:p>
    <w:p w14:paraId="04787632" w14:textId="77777777" w:rsidR="005C3FBF" w:rsidRPr="001730BE" w:rsidRDefault="005C3FBF" w:rsidP="008E571C">
      <w:pPr>
        <w:jc w:val="both"/>
        <w:rPr>
          <w:rFonts w:ascii="微軟正黑體" w:eastAsia="微軟正黑體" w:hAnsi="微軟正黑體"/>
          <w:bCs/>
          <w:color w:val="000000" w:themeColor="text1"/>
          <w:szCs w:val="24"/>
        </w:rPr>
      </w:pPr>
    </w:p>
    <w:p w14:paraId="375F18BE" w14:textId="77777777" w:rsidR="00DC1614" w:rsidRPr="001730BE" w:rsidRDefault="00DC1614" w:rsidP="00DC161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分項指數</w:t>
      </w:r>
    </w:p>
    <w:p w14:paraId="528B939D" w14:textId="11264A3E" w:rsidR="00B94442" w:rsidRPr="001730BE" w:rsidRDefault="00B94442" w:rsidP="009E2D86">
      <w:pPr>
        <w:jc w:val="both"/>
        <w:rPr>
          <w:rFonts w:ascii="微軟正黑體" w:eastAsia="微軟正黑體" w:hAnsi="微軟正黑體"/>
          <w:b/>
          <w:bCs/>
          <w:color w:val="000000" w:themeColor="text1"/>
          <w:szCs w:val="24"/>
        </w:rPr>
      </w:pPr>
      <w:r w:rsidRPr="001730BE">
        <w:rPr>
          <w:rFonts w:ascii="微軟正黑體" w:eastAsia="微軟正黑體" w:hAnsi="微軟正黑體" w:hint="eastAsia"/>
          <w:b/>
          <w:bCs/>
          <w:color w:val="000000" w:themeColor="text1"/>
          <w:szCs w:val="24"/>
        </w:rPr>
        <w:t>2024年第四季，產品種類指數下跌4點至43點，但仍然是連續六季表現最好的分項指數。緊急訂單指數下跌5點至40點，而銷售量則下跌4點至36點。從市場層面而言，亞太地區的跌幅較為輕微，各分項指數的表現不一。美洲亦錄得輕微下滑，特別是於緊急訂單及產品種類方面。歐洲則出現大幅度下跌，影響所有分項指數。</w:t>
      </w:r>
    </w:p>
    <w:p w14:paraId="0E678F9E" w14:textId="77777777" w:rsidR="005C3FBF" w:rsidRPr="001730BE" w:rsidRDefault="005C3FBF" w:rsidP="009E2D86">
      <w:pPr>
        <w:jc w:val="both"/>
        <w:rPr>
          <w:rFonts w:ascii="微軟正黑體" w:eastAsia="微軟正黑體" w:hAnsi="微軟正黑體"/>
          <w:color w:val="000000" w:themeColor="text1"/>
          <w:szCs w:val="24"/>
        </w:rPr>
      </w:pPr>
    </w:p>
    <w:p w14:paraId="52898F2B" w14:textId="77777777" w:rsidR="00B94442" w:rsidRPr="001730BE" w:rsidRDefault="00B94442"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b/>
          <w:bCs/>
          <w:color w:val="000000" w:themeColor="text1"/>
          <w:szCs w:val="24"/>
        </w:rPr>
        <w:t>產品種類</w:t>
      </w:r>
      <w:r w:rsidRPr="001730BE">
        <w:rPr>
          <w:rFonts w:ascii="微軟正黑體" w:eastAsia="微軟正黑體" w:hAnsi="微軟正黑體" w:hint="eastAsia"/>
          <w:color w:val="000000" w:themeColor="text1"/>
          <w:szCs w:val="24"/>
        </w:rPr>
        <w:t>指數錄得4點跌幅，由上季的47點下跌至本季的43點。值得注意的是，產品種類指數連續六季保持最佳表現。</w:t>
      </w:r>
    </w:p>
    <w:p w14:paraId="02464941" w14:textId="77777777" w:rsidR="00B94442" w:rsidRPr="001730BE" w:rsidRDefault="00B94442" w:rsidP="00B94442">
      <w:pPr>
        <w:jc w:val="both"/>
        <w:rPr>
          <w:rFonts w:ascii="微軟正黑體" w:eastAsia="微軟正黑體" w:hAnsi="微軟正黑體"/>
          <w:color w:val="000000" w:themeColor="text1"/>
          <w:szCs w:val="24"/>
        </w:rPr>
      </w:pPr>
    </w:p>
    <w:p w14:paraId="1C25BCD1" w14:textId="5D74F3EA" w:rsidR="005C3FBF" w:rsidRPr="001730BE" w:rsidRDefault="00B94442"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b/>
          <w:bCs/>
          <w:color w:val="000000" w:themeColor="text1"/>
          <w:szCs w:val="24"/>
        </w:rPr>
        <w:t>緊急訂單</w:t>
      </w:r>
      <w:r w:rsidRPr="001730BE">
        <w:rPr>
          <w:rFonts w:ascii="微軟正黑體" w:eastAsia="微軟正黑體" w:hAnsi="微軟正黑體" w:hint="eastAsia"/>
          <w:color w:val="000000" w:themeColor="text1"/>
          <w:szCs w:val="24"/>
        </w:rPr>
        <w:t>指數與上季相比，呈現顯著的5點跌幅，但仍然穩定維持於40點水平，回落至2024年第一季的水平。此外，與去年同季相比，指數輕微下跌1點。</w:t>
      </w:r>
    </w:p>
    <w:p w14:paraId="3E38D796" w14:textId="77777777" w:rsidR="005C3FBF" w:rsidRPr="001730BE" w:rsidRDefault="005C3FBF" w:rsidP="005C3FBF">
      <w:pPr>
        <w:jc w:val="both"/>
        <w:rPr>
          <w:rFonts w:ascii="微軟正黑體" w:eastAsia="微軟正黑體" w:hAnsi="微軟正黑體"/>
          <w:color w:val="000000" w:themeColor="text1"/>
          <w:szCs w:val="24"/>
        </w:rPr>
      </w:pPr>
    </w:p>
    <w:p w14:paraId="1C2296FF" w14:textId="21BF6981" w:rsidR="005C3FBF" w:rsidRPr="001730BE" w:rsidRDefault="00B94442" w:rsidP="005C3FBF">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同樣地，</w:t>
      </w:r>
      <w:r w:rsidRPr="001730BE">
        <w:rPr>
          <w:rFonts w:ascii="微軟正黑體" w:eastAsia="微軟正黑體" w:hAnsi="微軟正黑體" w:hint="eastAsia"/>
          <w:b/>
          <w:bCs/>
          <w:color w:val="000000" w:themeColor="text1"/>
          <w:szCs w:val="24"/>
        </w:rPr>
        <w:t>銷售量</w:t>
      </w:r>
      <w:r w:rsidRPr="001730BE">
        <w:rPr>
          <w:rFonts w:ascii="微軟正黑體" w:eastAsia="微軟正黑體" w:hAnsi="微軟正黑體" w:hint="eastAsia"/>
          <w:color w:val="000000" w:themeColor="text1"/>
          <w:szCs w:val="24"/>
        </w:rPr>
        <w:t>指數回落至2024年第一季的水平，入口及出口／轉口方面均為36點。</w:t>
      </w:r>
    </w:p>
    <w:p w14:paraId="5DCF535F" w14:textId="77777777" w:rsidR="00B94442" w:rsidRPr="001730BE" w:rsidRDefault="00B94442" w:rsidP="005C3FBF">
      <w:pPr>
        <w:jc w:val="both"/>
        <w:rPr>
          <w:rFonts w:ascii="微軟正黑體" w:eastAsia="微軟正黑體" w:hAnsi="微軟正黑體"/>
          <w:color w:val="000000" w:themeColor="text1"/>
          <w:szCs w:val="24"/>
        </w:rPr>
      </w:pPr>
    </w:p>
    <w:p w14:paraId="40775D9D" w14:textId="77777777" w:rsidR="00156B0D" w:rsidRPr="001730BE" w:rsidRDefault="00156B0D"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各市場的分項指數發展如下：</w:t>
      </w:r>
    </w:p>
    <w:p w14:paraId="5790CCF5" w14:textId="14673B7B" w:rsidR="00B94442" w:rsidRPr="001730BE" w:rsidRDefault="00B94442" w:rsidP="00B94442">
      <w:pPr>
        <w:pStyle w:val="ListParagraph"/>
        <w:numPr>
          <w:ilvl w:val="0"/>
          <w:numId w:val="3"/>
        </w:numPr>
        <w:ind w:leftChars="0"/>
        <w:jc w:val="both"/>
        <w:rPr>
          <w:rFonts w:ascii="微軟正黑體" w:eastAsia="微軟正黑體" w:hAnsi="微軟正黑體"/>
          <w:color w:val="000000" w:themeColor="text1"/>
          <w:szCs w:val="24"/>
        </w:rPr>
      </w:pPr>
      <w:r w:rsidRPr="00886681">
        <w:rPr>
          <w:rFonts w:ascii="微軟正黑體" w:eastAsia="微軟正黑體" w:hAnsi="微軟正黑體" w:hint="eastAsia"/>
          <w:b/>
          <w:bCs/>
          <w:color w:val="000000" w:themeColor="text1"/>
          <w:szCs w:val="24"/>
        </w:rPr>
        <w:lastRenderedPageBreak/>
        <w:t>亞太地區</w:t>
      </w:r>
      <w:r w:rsidRPr="001730BE">
        <w:rPr>
          <w:rFonts w:ascii="微軟正黑體" w:eastAsia="微軟正黑體" w:hAnsi="微軟正黑體" w:hint="eastAsia"/>
          <w:color w:val="000000" w:themeColor="text1"/>
          <w:szCs w:val="24"/>
        </w:rPr>
        <w:t>的分項指數錄得輕微的跌幅（-3點），不同分項指數於本季有升有跌。整體而言，與其他市場相比，亞太地區的表現較為穩定。</w:t>
      </w:r>
    </w:p>
    <w:p w14:paraId="6913B4DC" w14:textId="14D1A90D"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緊急訂單微升1點，主要受日本入口方面的9點升幅帶動。</w:t>
      </w:r>
    </w:p>
    <w:p w14:paraId="340E3E4E" w14:textId="55E07006"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產品種類下跌2點，主要受中國及其他亞太地區於入口方面的10點跌幅所致。</w:t>
      </w:r>
    </w:p>
    <w:p w14:paraId="5B9F1DA6" w14:textId="2D6DD3B5"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銷售量下跌2點，主要受日本於出口／轉口方面的7點跌幅及其他亞太地區於入口方面的10點跌幅所致。</w:t>
      </w:r>
    </w:p>
    <w:p w14:paraId="351B7027" w14:textId="77777777" w:rsidR="005C3FBF" w:rsidRPr="001730BE" w:rsidRDefault="005C3FBF" w:rsidP="00B94442">
      <w:pPr>
        <w:pStyle w:val="ListParagraph"/>
        <w:ind w:leftChars="0"/>
        <w:jc w:val="both"/>
        <w:rPr>
          <w:rFonts w:ascii="微軟正黑體" w:eastAsia="微軟正黑體" w:hAnsi="微軟正黑體"/>
          <w:color w:val="000000" w:themeColor="text1"/>
          <w:szCs w:val="24"/>
        </w:rPr>
      </w:pPr>
    </w:p>
    <w:p w14:paraId="1A521242" w14:textId="77777777" w:rsidR="00B94442" w:rsidRPr="001730BE" w:rsidRDefault="00B94442" w:rsidP="00B94442">
      <w:pPr>
        <w:pStyle w:val="ListParagraph"/>
        <w:numPr>
          <w:ilvl w:val="0"/>
          <w:numId w:val="3"/>
        </w:numPr>
        <w:ind w:leftChars="0"/>
        <w:jc w:val="both"/>
        <w:rPr>
          <w:rFonts w:ascii="微軟正黑體" w:eastAsia="微軟正黑體" w:hAnsi="微軟正黑體"/>
          <w:color w:val="000000" w:themeColor="text1"/>
          <w:szCs w:val="24"/>
        </w:rPr>
      </w:pPr>
      <w:r w:rsidRPr="00886681">
        <w:rPr>
          <w:rFonts w:ascii="微軟正黑體" w:eastAsia="微軟正黑體" w:hAnsi="微軟正黑體" w:hint="eastAsia"/>
          <w:b/>
          <w:bCs/>
          <w:color w:val="000000" w:themeColor="text1"/>
          <w:szCs w:val="24"/>
        </w:rPr>
        <w:t>美洲</w:t>
      </w:r>
      <w:r w:rsidRPr="001730BE">
        <w:rPr>
          <w:rFonts w:ascii="微軟正黑體" w:eastAsia="微軟正黑體" w:hAnsi="微軟正黑體" w:hint="eastAsia"/>
          <w:color w:val="000000" w:themeColor="text1"/>
          <w:szCs w:val="24"/>
        </w:rPr>
        <w:t>的分項指數亦錄得輕微跌幅。較為顯著的下跌為緊急訂單指數，下降7點；其次為產品種類指數，錄得5點跌幅。儘管銷售量（-2點）錄得輕微下跌，但其整體表現仍高於2024上半年。</w:t>
      </w:r>
    </w:p>
    <w:p w14:paraId="37B8E3DA" w14:textId="77777777" w:rsidR="005C3FBF" w:rsidRPr="001730BE" w:rsidRDefault="005C3FBF" w:rsidP="00B94442">
      <w:pPr>
        <w:pStyle w:val="ListParagraph"/>
        <w:ind w:leftChars="0"/>
        <w:jc w:val="both"/>
        <w:rPr>
          <w:rFonts w:ascii="微軟正黑體" w:eastAsia="微軟正黑體" w:hAnsi="微軟正黑體"/>
          <w:color w:val="000000" w:themeColor="text1"/>
          <w:szCs w:val="24"/>
        </w:rPr>
      </w:pPr>
    </w:p>
    <w:p w14:paraId="786D955F" w14:textId="434ED507" w:rsidR="00B94442" w:rsidRPr="001730BE" w:rsidRDefault="00B94442" w:rsidP="00B94442">
      <w:pPr>
        <w:pStyle w:val="ListParagraph"/>
        <w:numPr>
          <w:ilvl w:val="0"/>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經歷連續兩季的強勁增長後，</w:t>
      </w:r>
      <w:r w:rsidRPr="00886681">
        <w:rPr>
          <w:rFonts w:ascii="微軟正黑體" w:eastAsia="微軟正黑體" w:hAnsi="微軟正黑體" w:hint="eastAsia"/>
          <w:b/>
          <w:bCs/>
          <w:color w:val="000000" w:themeColor="text1"/>
          <w:szCs w:val="24"/>
        </w:rPr>
        <w:t>歐洲</w:t>
      </w:r>
      <w:r w:rsidRPr="001730BE">
        <w:rPr>
          <w:rFonts w:ascii="微軟正黑體" w:eastAsia="微軟正黑體" w:hAnsi="微軟正黑體" w:hint="eastAsia"/>
          <w:color w:val="000000" w:themeColor="text1"/>
          <w:szCs w:val="24"/>
        </w:rPr>
        <w:t>的分項指數於本季錄得顯著的12點的跌幅。是次跌幅較為顯著，橫跨多項指數，顯示市場普遍出現收縮跡象。</w:t>
      </w:r>
    </w:p>
    <w:p w14:paraId="1F085B52" w14:textId="699A91E7"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緊急訂單於歐洲出現最為顯著的跌幅，入口方面下跌14點，而出口／轉口方面下跌11點。</w:t>
      </w:r>
    </w:p>
    <w:p w14:paraId="1EA40B5E" w14:textId="77CE1C9F"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產品種類於出口／轉口方面下跌9點，而入口方面下跌7點。</w:t>
      </w:r>
    </w:p>
    <w:p w14:paraId="7DAA224B" w14:textId="0E561934" w:rsidR="00B94442" w:rsidRPr="001730BE" w:rsidRDefault="00B94442" w:rsidP="00B94442">
      <w:pPr>
        <w:pStyle w:val="ListParagraph"/>
        <w:numPr>
          <w:ilvl w:val="1"/>
          <w:numId w:val="3"/>
        </w:numPr>
        <w:ind w:leftChars="0"/>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銷售量於入口及出口／轉口方面同樣錄得顯著跌幅，分別下跌7點及8點。</w:t>
      </w:r>
    </w:p>
    <w:p w14:paraId="401A2F95" w14:textId="77777777" w:rsidR="001A0045" w:rsidRPr="001730BE" w:rsidRDefault="001A0045" w:rsidP="005733B0">
      <w:pPr>
        <w:jc w:val="both"/>
        <w:rPr>
          <w:rFonts w:ascii="微軟正黑體" w:eastAsia="微軟正黑體" w:hAnsi="微軟正黑體"/>
          <w:b/>
          <w:bCs/>
          <w:color w:val="000000" w:themeColor="text1"/>
          <w:szCs w:val="24"/>
        </w:rPr>
      </w:pPr>
    </w:p>
    <w:p w14:paraId="079060B0" w14:textId="77777777" w:rsidR="00124B29" w:rsidRPr="001730BE" w:rsidRDefault="00124B29"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近期市場消息對空運貿易的影響</w:t>
      </w:r>
    </w:p>
    <w:p w14:paraId="6E24F907" w14:textId="279038DA" w:rsidR="005B44B6" w:rsidRPr="005B44B6" w:rsidRDefault="005B44B6" w:rsidP="003A51DD">
      <w:pPr>
        <w:jc w:val="both"/>
        <w:rPr>
          <w:rFonts w:ascii="微軟正黑體" w:eastAsia="微軟正黑體" w:hAnsi="微軟正黑體" w:hint="eastAsia"/>
          <w:b/>
          <w:color w:val="000000" w:themeColor="text1"/>
          <w:szCs w:val="24"/>
        </w:rPr>
      </w:pPr>
      <w:r w:rsidRPr="005B44B6">
        <w:rPr>
          <w:rFonts w:ascii="微軟正黑體" w:eastAsia="微軟正黑體" w:hAnsi="微軟正黑體" w:hint="eastAsia"/>
          <w:b/>
          <w:color w:val="000000" w:themeColor="text1"/>
          <w:szCs w:val="24"/>
        </w:rPr>
        <w:t>整體而言，空運用家對感恩節及聖誕前夕的展望維持穩定，過去兩年的情況相若，五分之一的受訪者預期正面。展望2025，40％的空運用家表示計劃於來年上調價格，主要由通脹及人手短缺所致。在2025年具發展潛力市場方面，中國為首選，馬來西亞及泰國排名第二，越南排名第三。</w:t>
      </w:r>
    </w:p>
    <w:p w14:paraId="34E21C46" w14:textId="77777777" w:rsidR="005C3FBF" w:rsidRPr="005B44B6" w:rsidRDefault="005C3FBF" w:rsidP="005C3FBF">
      <w:pPr>
        <w:jc w:val="both"/>
        <w:rPr>
          <w:rFonts w:ascii="微軟正黑體" w:eastAsia="微軟正黑體" w:hAnsi="微軟正黑體"/>
          <w:color w:val="000000" w:themeColor="text1"/>
          <w:szCs w:val="24"/>
        </w:rPr>
      </w:pPr>
    </w:p>
    <w:p w14:paraId="53BDFB3E" w14:textId="77777777" w:rsidR="00B94442" w:rsidRPr="001730BE" w:rsidRDefault="00B94442"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在2024年第四季，空運用家對傳統旺季（感恩節及聖誕前夕）的展望相對穩定，當中20%空運用家維持正面展望，與過往兩年相若。</w:t>
      </w:r>
    </w:p>
    <w:p w14:paraId="3A5C6306" w14:textId="77777777" w:rsidR="00B94442" w:rsidRPr="001730BE" w:rsidRDefault="00B94442" w:rsidP="00B94442">
      <w:pPr>
        <w:jc w:val="both"/>
        <w:rPr>
          <w:rFonts w:ascii="微軟正黑體" w:eastAsia="微軟正黑體" w:hAnsi="微軟正黑體"/>
          <w:color w:val="000000" w:themeColor="text1"/>
          <w:szCs w:val="24"/>
        </w:rPr>
      </w:pPr>
    </w:p>
    <w:p w14:paraId="58FFBEC2" w14:textId="5F83C8E2" w:rsidR="00B94442" w:rsidRPr="001730BE" w:rsidRDefault="00B94442"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然而，負面展望的空運用家比例增加了</w:t>
      </w:r>
      <w:r w:rsidRPr="001730BE">
        <w:rPr>
          <w:rFonts w:ascii="微軟正黑體" w:eastAsia="微軟正黑體" w:hAnsi="微軟正黑體"/>
          <w:color w:val="000000" w:themeColor="text1"/>
          <w:szCs w:val="24"/>
        </w:rPr>
        <w:t>6%</w:t>
      </w:r>
      <w:r w:rsidRPr="001730BE">
        <w:rPr>
          <w:rFonts w:ascii="微軟正黑體" w:eastAsia="微軟正黑體" w:hAnsi="微軟正黑體" w:hint="eastAsia"/>
          <w:color w:val="000000" w:themeColor="text1"/>
          <w:szCs w:val="24"/>
        </w:rPr>
        <w:t>，於本年度上升至</w:t>
      </w:r>
      <w:r w:rsidRPr="001730BE">
        <w:rPr>
          <w:rFonts w:ascii="微軟正黑體" w:eastAsia="微軟正黑體" w:hAnsi="微軟正黑體"/>
          <w:color w:val="000000" w:themeColor="text1"/>
          <w:szCs w:val="24"/>
        </w:rPr>
        <w:t>31%</w:t>
      </w:r>
      <w:r w:rsidRPr="001730BE">
        <w:rPr>
          <w:rFonts w:ascii="微軟正黑體" w:eastAsia="微軟正黑體" w:hAnsi="微軟正黑體" w:hint="eastAsia"/>
          <w:color w:val="000000" w:themeColor="text1"/>
          <w:szCs w:val="24"/>
        </w:rPr>
        <w:t>，主要由於部份空運用家由持平展望轉向負面。就空運商品而言，受訪者對電子產品及部件的展望最爲負面，達到</w:t>
      </w:r>
      <w:r w:rsidRPr="001730BE">
        <w:rPr>
          <w:rFonts w:ascii="微軟正黑體" w:eastAsia="微軟正黑體" w:hAnsi="微軟正黑體"/>
          <w:color w:val="000000" w:themeColor="text1"/>
          <w:szCs w:val="24"/>
        </w:rPr>
        <w:t>37%</w:t>
      </w:r>
      <w:r w:rsidRPr="001730BE">
        <w:rPr>
          <w:rFonts w:ascii="微軟正黑體" w:eastAsia="微軟正黑體" w:hAnsi="微軟正黑體" w:hint="eastAsia"/>
          <w:color w:val="000000" w:themeColor="text1"/>
          <w:szCs w:val="24"/>
        </w:rPr>
        <w:t>。於市場層面而言，當中以日本為主要市場的空運用家的展望由持平轉為負面較為明顯，較</w:t>
      </w:r>
      <w:r w:rsidRPr="001730BE">
        <w:rPr>
          <w:rFonts w:ascii="微軟正黑體" w:eastAsia="微軟正黑體" w:hAnsi="微軟正黑體"/>
          <w:color w:val="000000" w:themeColor="text1"/>
          <w:szCs w:val="24"/>
        </w:rPr>
        <w:t>2023</w:t>
      </w:r>
      <w:r w:rsidRPr="001730BE">
        <w:rPr>
          <w:rFonts w:ascii="微軟正黑體" w:eastAsia="微軟正黑體" w:hAnsi="微軟正黑體" w:hint="eastAsia"/>
          <w:color w:val="000000" w:themeColor="text1"/>
          <w:szCs w:val="24"/>
        </w:rPr>
        <w:t>年第四季上升</w:t>
      </w:r>
      <w:r w:rsidRPr="001730BE">
        <w:rPr>
          <w:rFonts w:ascii="微軟正黑體" w:eastAsia="微軟正黑體" w:hAnsi="微軟正黑體"/>
          <w:color w:val="000000" w:themeColor="text1"/>
          <w:szCs w:val="24"/>
        </w:rPr>
        <w:t>14%</w:t>
      </w:r>
      <w:r w:rsidR="00886681" w:rsidRPr="001730BE">
        <w:rPr>
          <w:rFonts w:ascii="微軟正黑體" w:eastAsia="微軟正黑體" w:hAnsi="微軟正黑體" w:hint="eastAsia"/>
          <w:color w:val="000000" w:themeColor="text1"/>
          <w:szCs w:val="24"/>
        </w:rPr>
        <w:t>。</w:t>
      </w:r>
    </w:p>
    <w:p w14:paraId="23E0C6E2" w14:textId="77777777" w:rsidR="005C3FBF" w:rsidRPr="001730BE" w:rsidRDefault="005C3FBF" w:rsidP="005C3FBF">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註：由於四捨五入的關係，百分比合計未必等於100%。</w:t>
      </w:r>
    </w:p>
    <w:p w14:paraId="0562A5E6" w14:textId="77777777" w:rsidR="008E571C" w:rsidRPr="001730BE" w:rsidRDefault="008E571C" w:rsidP="00001C42">
      <w:pPr>
        <w:widowControl/>
        <w:jc w:val="both"/>
        <w:rPr>
          <w:rFonts w:ascii="微軟正黑體" w:eastAsia="微軟正黑體" w:hAnsi="微軟正黑體"/>
          <w:color w:val="000000" w:themeColor="text1"/>
          <w:sz w:val="16"/>
          <w:szCs w:val="16"/>
        </w:rPr>
      </w:pPr>
    </w:p>
    <w:p w14:paraId="26AE9CBF" w14:textId="5DCC55A8" w:rsidR="00B94442" w:rsidRPr="001730BE" w:rsidRDefault="00B94442" w:rsidP="005C3FBF">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正面展望的首要推動力為「目的地的消費力強勁」（46%）。這一因素反映強勁消費力對市場動態所帶來的重要影響力。</w:t>
      </w:r>
    </w:p>
    <w:p w14:paraId="376FF353" w14:textId="77777777" w:rsidR="005C3FBF" w:rsidRPr="001730BE" w:rsidRDefault="005C3FBF" w:rsidP="005C3FBF">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基於對2024感恩節及聖誕前夕高峰期預期正面的受訪者</w:t>
      </w:r>
    </w:p>
    <w:p w14:paraId="5CD681A1" w14:textId="77777777" w:rsidR="005C3FBF" w:rsidRPr="001730BE" w:rsidRDefault="005C3FBF" w:rsidP="005C3FBF">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lastRenderedPageBreak/>
        <w:t>註：受訪者可以選擇多項答案</w:t>
      </w:r>
    </w:p>
    <w:p w14:paraId="2C37EC75" w14:textId="77777777" w:rsidR="005C3FBF" w:rsidRPr="001730BE" w:rsidRDefault="005C3FBF" w:rsidP="005C3FBF">
      <w:pPr>
        <w:jc w:val="both"/>
        <w:rPr>
          <w:rFonts w:ascii="微軟正黑體" w:eastAsia="微軟正黑體" w:hAnsi="微軟正黑體"/>
          <w:color w:val="000000" w:themeColor="text1"/>
          <w:szCs w:val="24"/>
        </w:rPr>
      </w:pPr>
    </w:p>
    <w:p w14:paraId="7E2559D8" w14:textId="2BB2E966" w:rsidR="00B94442" w:rsidRPr="001730BE" w:rsidRDefault="00B94442" w:rsidP="005C3FBF">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對今年的傳統旺季持負面展望的受訪者當中，主要原因為「目的地的消費力疲弱」（56%），其次為「航運成本太高」（30%）。「其他原因」（19%）方面，28%受訪者將其負面展望歸因於「經濟不景」。</w:t>
      </w:r>
    </w:p>
    <w:p w14:paraId="73E8013D" w14:textId="77777777" w:rsidR="005C3FBF" w:rsidRPr="001730BE" w:rsidRDefault="005C3FBF" w:rsidP="005C3FBF">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基於對2024感恩節及聖誕前夕高峰期預期負面的受訪者</w:t>
      </w:r>
    </w:p>
    <w:p w14:paraId="26846F15" w14:textId="77777777" w:rsidR="005C3FBF" w:rsidRPr="001730BE" w:rsidRDefault="005C3FBF" w:rsidP="005C3FBF">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47E0AEA9" w14:textId="77777777" w:rsidR="005C3FBF" w:rsidRPr="001730BE" w:rsidRDefault="005C3FBF" w:rsidP="005C3FBF">
      <w:pPr>
        <w:jc w:val="both"/>
        <w:rPr>
          <w:rFonts w:ascii="微軟正黑體" w:eastAsia="微軟正黑體" w:hAnsi="微軟正黑體"/>
          <w:color w:val="000000" w:themeColor="text1"/>
          <w:szCs w:val="24"/>
        </w:rPr>
      </w:pPr>
    </w:p>
    <w:p w14:paraId="3CC396CA" w14:textId="77777777" w:rsidR="005C668D" w:rsidRPr="005C668D" w:rsidRDefault="005C668D" w:rsidP="005C668D">
      <w:pPr>
        <w:jc w:val="both"/>
        <w:rPr>
          <w:rFonts w:ascii="微軟正黑體" w:eastAsia="微軟正黑體" w:hAnsi="微軟正黑體"/>
          <w:color w:val="000000" w:themeColor="text1"/>
          <w:szCs w:val="24"/>
        </w:rPr>
      </w:pPr>
      <w:r w:rsidRPr="005C668D">
        <w:rPr>
          <w:rFonts w:ascii="微軟正黑體" w:eastAsia="微軟正黑體" w:hAnsi="微軟正黑體" w:hint="eastAsia"/>
          <w:color w:val="000000" w:themeColor="text1"/>
          <w:szCs w:val="24"/>
        </w:rPr>
        <w:t>展望2025年，約三分之一（35%）的空運用家表示會以慣常幅度調整價格，另外有5%表示會比慣常較大程度地上調價格。</w:t>
      </w:r>
    </w:p>
    <w:p w14:paraId="367C8F23" w14:textId="77777777" w:rsidR="005C668D" w:rsidRPr="005C668D" w:rsidRDefault="005C668D" w:rsidP="005C668D">
      <w:pPr>
        <w:jc w:val="both"/>
        <w:rPr>
          <w:rFonts w:ascii="微軟正黑體" w:eastAsia="微軟正黑體" w:hAnsi="微軟正黑體"/>
          <w:color w:val="000000" w:themeColor="text1"/>
          <w:szCs w:val="24"/>
        </w:rPr>
      </w:pPr>
    </w:p>
    <w:p w14:paraId="09CE8CF9" w14:textId="638BFDB1" w:rsidR="005C668D" w:rsidRPr="005C668D" w:rsidRDefault="005C668D" w:rsidP="005C668D">
      <w:pPr>
        <w:jc w:val="both"/>
        <w:rPr>
          <w:rFonts w:ascii="微軟正黑體" w:eastAsia="微軟正黑體" w:hAnsi="微軟正黑體"/>
          <w:color w:val="000000" w:themeColor="text1"/>
          <w:szCs w:val="24"/>
        </w:rPr>
      </w:pPr>
      <w:r w:rsidRPr="005C668D">
        <w:rPr>
          <w:rFonts w:ascii="微軟正黑體" w:eastAsia="微軟正黑體" w:hAnsi="微軟正黑體" w:hint="eastAsia"/>
          <w:color w:val="000000" w:themeColor="text1"/>
          <w:szCs w:val="24"/>
        </w:rPr>
        <w:t>就市場方面而言，於中國及歐洲地區營運的空運用家普遍會上調價格，44%來自以上地區的受訪者均有此意向。同時，於日本及其他地區營運的空運用家對上調價的意願較低，分別只有34%及29%有意上調價格。</w:t>
      </w:r>
    </w:p>
    <w:p w14:paraId="49E38C7A" w14:textId="77777777" w:rsidR="005C3FBF" w:rsidRPr="005C668D" w:rsidRDefault="005C3FBF" w:rsidP="005C3FBF">
      <w:pPr>
        <w:widowControl/>
        <w:jc w:val="both"/>
        <w:rPr>
          <w:rFonts w:ascii="微軟正黑體" w:eastAsia="微軟正黑體" w:hAnsi="微軟正黑體"/>
          <w:color w:val="000000" w:themeColor="text1"/>
          <w:sz w:val="16"/>
          <w:szCs w:val="16"/>
        </w:rPr>
      </w:pPr>
      <w:r w:rsidRPr="005C668D">
        <w:rPr>
          <w:rFonts w:ascii="微軟正黑體" w:eastAsia="微軟正黑體" w:hAnsi="微軟正黑體" w:hint="eastAsia"/>
          <w:color w:val="000000" w:themeColor="text1"/>
          <w:sz w:val="16"/>
          <w:szCs w:val="16"/>
        </w:rPr>
        <w:t>註：由於四捨五入的關係，百分比合計未必等於100%。</w:t>
      </w:r>
    </w:p>
    <w:p w14:paraId="28529BBF" w14:textId="77777777" w:rsidR="00874E9E" w:rsidRPr="001730BE" w:rsidRDefault="00874E9E" w:rsidP="00874E9E">
      <w:pPr>
        <w:jc w:val="both"/>
        <w:rPr>
          <w:rFonts w:ascii="微軟正黑體" w:eastAsia="微軟正黑體" w:hAnsi="微軟正黑體"/>
          <w:color w:val="000000" w:themeColor="text1"/>
          <w:szCs w:val="24"/>
        </w:rPr>
      </w:pPr>
    </w:p>
    <w:p w14:paraId="5E40D594" w14:textId="7628F017"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「通脹」（39%）及「人手嚴重不足，導致成本上漲」（35%）皆為空運用家上調價格的主要原因。</w:t>
      </w:r>
    </w:p>
    <w:p w14:paraId="7AC9467B"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基於表示於2025年會「比慣常較大程度地上調價格」／「維持以往價格調整幅度」的受訪者</w:t>
      </w:r>
    </w:p>
    <w:p w14:paraId="16A1D5C5"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26BEEE71" w14:textId="77777777" w:rsidR="00874E9E" w:rsidRPr="001730BE" w:rsidRDefault="00874E9E" w:rsidP="00874E9E">
      <w:pPr>
        <w:jc w:val="both"/>
        <w:rPr>
          <w:rFonts w:ascii="微軟正黑體" w:eastAsia="微軟正黑體" w:hAnsi="微軟正黑體"/>
          <w:color w:val="000000" w:themeColor="text1"/>
          <w:szCs w:val="24"/>
        </w:rPr>
      </w:pPr>
    </w:p>
    <w:p w14:paraId="35D2E7D6" w14:textId="035F4CB0"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相反，於來年計劃維持或下調價格的空運用家中，大部份表示「訂單不足，行業競爭漸趨激烈」（80%）為其主要憂慮；與去年相比上升6%，顯示空運貿易方面的競爭逐漸激烈。</w:t>
      </w:r>
    </w:p>
    <w:p w14:paraId="2A0E567F"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基於表示於2025年會選擇「不會調整價格」／「下調價格」的受訪者</w:t>
      </w:r>
    </w:p>
    <w:p w14:paraId="03190C93"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606D9700" w14:textId="77777777" w:rsidR="00874E9E" w:rsidRPr="001730BE" w:rsidRDefault="00874E9E" w:rsidP="00874E9E">
      <w:pPr>
        <w:jc w:val="both"/>
        <w:rPr>
          <w:rFonts w:ascii="微軟正黑體" w:eastAsia="微軟正黑體" w:hAnsi="微軟正黑體"/>
          <w:color w:val="000000" w:themeColor="text1"/>
          <w:szCs w:val="24"/>
        </w:rPr>
      </w:pPr>
    </w:p>
    <w:p w14:paraId="7278DD87" w14:textId="05919B02"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多於一半的受訪空運用家（52%）已制定來年的發展計劃，其中近一半受訪者專注於研究或開發進一步減低物流成本的方案，而五分之一決定發展其他市場。</w:t>
      </w:r>
    </w:p>
    <w:p w14:paraId="52E98BE7"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1603A4E6" w14:textId="77777777" w:rsidR="00874E9E" w:rsidRPr="001730BE" w:rsidRDefault="00874E9E" w:rsidP="00874E9E">
      <w:pPr>
        <w:jc w:val="both"/>
        <w:rPr>
          <w:rFonts w:ascii="微軟正黑體" w:eastAsia="微軟正黑體" w:hAnsi="微軟正黑體"/>
          <w:color w:val="000000" w:themeColor="text1"/>
          <w:szCs w:val="24"/>
        </w:rPr>
      </w:pPr>
    </w:p>
    <w:p w14:paraId="15FBF46F" w14:textId="1E18B1FF"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於表示計劃來年發展其他市場的空運用家當中，首三大具發展潛力市場維持不變，中國繼續穩居榜首，其次為東南亞市場，包括馬來西亞、泰國及越南，可見空運用家仍然認為亞洲市場較有潛力。</w:t>
      </w:r>
    </w:p>
    <w:p w14:paraId="17A7CCB2"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基於所有回應</w:t>
      </w:r>
    </w:p>
    <w:p w14:paraId="1B649445"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註：由於四捨五入的關係，百分比合計未必等如100%。</w:t>
      </w:r>
    </w:p>
    <w:p w14:paraId="3528C435" w14:textId="77777777" w:rsidR="00874E9E" w:rsidRPr="001730BE" w:rsidRDefault="00874E9E" w:rsidP="00874E9E">
      <w:pPr>
        <w:jc w:val="both"/>
        <w:rPr>
          <w:rFonts w:ascii="微軟正黑體" w:eastAsia="微軟正黑體" w:hAnsi="微軟正黑體"/>
          <w:color w:val="000000" w:themeColor="text1"/>
          <w:szCs w:val="24"/>
        </w:rPr>
      </w:pPr>
    </w:p>
    <w:p w14:paraId="17C1D504" w14:textId="23303F46" w:rsidR="00874E9E" w:rsidRPr="001730BE" w:rsidRDefault="00B94442" w:rsidP="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2024年願意參與減少碳排放的空運用家平均為75%，較2023年的65%上升</w:t>
      </w:r>
      <w:r w:rsidRPr="001730BE">
        <w:rPr>
          <w:rFonts w:ascii="微軟正黑體" w:eastAsia="微軟正黑體" w:hAnsi="微軟正黑體" w:hint="eastAsia"/>
          <w:color w:val="000000" w:themeColor="text1"/>
          <w:szCs w:val="24"/>
        </w:rPr>
        <w:lastRenderedPageBreak/>
        <w:t>10個百分點，反映空運用家對減少碳排放的重視程度顯著上升。</w:t>
      </w:r>
    </w:p>
    <w:p w14:paraId="38D331C4"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註：由於四捨五入的關係，百分比合計未必等於100%。</w:t>
      </w:r>
    </w:p>
    <w:p w14:paraId="08A10585" w14:textId="77777777" w:rsidR="00874E9E" w:rsidRPr="001730BE" w:rsidRDefault="00874E9E" w:rsidP="00874E9E">
      <w:pPr>
        <w:jc w:val="both"/>
        <w:rPr>
          <w:rFonts w:ascii="微軟正黑體" w:eastAsia="微軟正黑體" w:hAnsi="微軟正黑體"/>
          <w:color w:val="000000" w:themeColor="text1"/>
          <w:szCs w:val="24"/>
        </w:rPr>
      </w:pPr>
    </w:p>
    <w:p w14:paraId="3BE23308" w14:textId="5E95E5A8"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於願意參與減少碳排放的空運用家中，「盡社會責任／履行ESG要求」（66%）及「支持政府的『碳中和』政策」（32%）仍然是主要推動因素。</w:t>
      </w:r>
    </w:p>
    <w:p w14:paraId="2F3217E4"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註：基於表示願意參與減少碳排放的受訪者</w:t>
      </w:r>
    </w:p>
    <w:p w14:paraId="2FCB6104"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648353E3" w14:textId="77777777" w:rsidR="00874E9E" w:rsidRPr="001730BE" w:rsidRDefault="00874E9E" w:rsidP="00874E9E">
      <w:pPr>
        <w:jc w:val="both"/>
        <w:rPr>
          <w:rFonts w:ascii="微軟正黑體" w:eastAsia="微軟正黑體" w:hAnsi="微軟正黑體"/>
          <w:color w:val="000000" w:themeColor="text1"/>
          <w:szCs w:val="24"/>
        </w:rPr>
      </w:pPr>
    </w:p>
    <w:p w14:paraId="4C0254E5" w14:textId="121B99BB"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於願意額外投放物流成本的空運用家當中，88%願意額外投放最多10%的物流成本作減少碳排放以達致目標。同時，10%受訪者願意額外投放最多30%，而3%願意額外投放30%以上。</w:t>
      </w:r>
    </w:p>
    <w:p w14:paraId="5D6EA215"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註：基於表示願意參與減少碳排放的受訪者</w:t>
      </w:r>
    </w:p>
    <w:p w14:paraId="784CF410"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註：由於四捨五入的關係，百分比合計未必等於100%。</w:t>
      </w:r>
    </w:p>
    <w:p w14:paraId="2588D96F" w14:textId="77777777" w:rsidR="00874E9E" w:rsidRPr="001730BE" w:rsidRDefault="00874E9E" w:rsidP="00874E9E">
      <w:pPr>
        <w:jc w:val="both"/>
        <w:rPr>
          <w:rFonts w:ascii="微軟正黑體" w:eastAsia="微軟正黑體" w:hAnsi="微軟正黑體"/>
          <w:color w:val="000000" w:themeColor="text1"/>
          <w:szCs w:val="24"/>
        </w:rPr>
      </w:pPr>
    </w:p>
    <w:p w14:paraId="3F2140A7" w14:textId="6984BEC4"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於2024年第四季，有一半的受訪空運用家表示「公司現時未有推行ESG」（50%）為不會參與減少碳排放的主要原因，反映企業在推動ESG的領導作用至關重要；其次最常見的原因為「成本上漲壓力」（29%）。</w:t>
      </w:r>
    </w:p>
    <w:p w14:paraId="726DB49B"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註：基於表示不願意參與減少碳排放的受訪者</w:t>
      </w:r>
    </w:p>
    <w:p w14:paraId="75B6A600"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註：受訪者可以選擇多項答案</w:t>
      </w:r>
    </w:p>
    <w:p w14:paraId="4CA7A9B1" w14:textId="77777777" w:rsidR="00874E9E" w:rsidRPr="001730BE" w:rsidRDefault="00874E9E" w:rsidP="00874E9E">
      <w:pPr>
        <w:jc w:val="both"/>
        <w:rPr>
          <w:rFonts w:ascii="微軟正黑體" w:eastAsia="微軟正黑體" w:hAnsi="微軟正黑體"/>
          <w:color w:val="000000" w:themeColor="text1"/>
          <w:szCs w:val="24"/>
        </w:rPr>
      </w:pPr>
    </w:p>
    <w:p w14:paraId="3B0A6354" w14:textId="76D213E5"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網上零售業務指數錄得2.8點的跌幅，下跌至40.5點。下跌主要受銷售量減少所致，下跌1.8點。相比之下，產品種類（+2.2點）及緊急訂單（+0.1點）則錄得輕微升幅。網上零售業務的產品種類上升而銷售量下降反映出款多量少為市場新趨勢，小單量、客製化成新常態。</w:t>
      </w:r>
    </w:p>
    <w:p w14:paraId="12AAF9AB" w14:textId="77777777" w:rsidR="00874E9E" w:rsidRPr="001730BE" w:rsidRDefault="00874E9E" w:rsidP="00874E9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hint="eastAsia"/>
          <w:color w:val="000000" w:themeColor="text1"/>
          <w:sz w:val="16"/>
          <w:szCs w:val="16"/>
        </w:rPr>
        <w:t>^ 基於有網上零售業務的受訪者</w:t>
      </w:r>
    </w:p>
    <w:p w14:paraId="31802D0C" w14:textId="2BB0A799" w:rsidR="00672EEE" w:rsidRPr="001730BE" w:rsidRDefault="00672EEE" w:rsidP="0036783E">
      <w:pPr>
        <w:widowControl/>
        <w:jc w:val="both"/>
        <w:rPr>
          <w:rFonts w:ascii="微軟正黑體" w:eastAsia="微軟正黑體" w:hAnsi="微軟正黑體"/>
          <w:color w:val="000000" w:themeColor="text1"/>
          <w:sz w:val="16"/>
          <w:szCs w:val="16"/>
        </w:rPr>
      </w:pPr>
      <w:r w:rsidRPr="001730BE">
        <w:rPr>
          <w:rFonts w:ascii="微軟正黑體" w:eastAsia="微軟正黑體" w:hAnsi="微軟正黑體"/>
          <w:color w:val="000000" w:themeColor="text1"/>
          <w:sz w:val="16"/>
          <w:szCs w:val="16"/>
        </w:rPr>
        <w:br w:type="page"/>
      </w:r>
    </w:p>
    <w:p w14:paraId="574E1C34" w14:textId="233E6480" w:rsidR="00124B29" w:rsidRPr="001730BE" w:rsidRDefault="00124B29" w:rsidP="00124B29">
      <w:pPr>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lastRenderedPageBreak/>
        <w:t>關於香港生產力促進局</w:t>
      </w:r>
    </w:p>
    <w:p w14:paraId="23B963C4" w14:textId="77777777" w:rsidR="00B94442" w:rsidRPr="001730BE" w:rsidRDefault="00B94442" w:rsidP="00B94442">
      <w:pPr>
        <w:rPr>
          <w:rFonts w:ascii="Arial" w:eastAsia="微軟正黑體" w:hAnsi="Arial" w:cs="Arial"/>
          <w:color w:val="000000" w:themeColor="text1"/>
          <w:szCs w:val="24"/>
        </w:rPr>
      </w:pPr>
      <w:r w:rsidRPr="001730BE">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市場導向的應用研發機構，以創新科技推動香港及大灣區新型工業化，成就新質生產力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w:t>
      </w:r>
      <w:r w:rsidRPr="001730BE">
        <w:rPr>
          <w:rFonts w:ascii="Arial" w:eastAsia="微軟正黑體" w:hAnsi="Arial" w:cs="Arial"/>
          <w:color w:val="000000" w:themeColor="text1"/>
          <w:szCs w:val="24"/>
        </w:rPr>
        <w:t> </w:t>
      </w:r>
    </w:p>
    <w:p w14:paraId="04C64E7C" w14:textId="75E3C647" w:rsidR="00B94442" w:rsidRPr="001730BE" w:rsidRDefault="00B94442" w:rsidP="00B94442">
      <w:pPr>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生產力局亦致力為中小企和初創企業提供即時和適切的支援，並提供各類未來技能發展課程，讓企業及學界掌握最新數碼及STEM技術，以加強人才培訓，提升香港競爭力。</w:t>
      </w:r>
    </w:p>
    <w:p w14:paraId="7F6C3906" w14:textId="77777777" w:rsidR="00B94442" w:rsidRPr="001730BE" w:rsidRDefault="00B94442" w:rsidP="00874E9E">
      <w:pPr>
        <w:jc w:val="both"/>
        <w:rPr>
          <w:rFonts w:ascii="微軟正黑體" w:eastAsia="微軟正黑體" w:hAnsi="微軟正黑體"/>
          <w:color w:val="000000" w:themeColor="text1"/>
          <w:szCs w:val="24"/>
        </w:rPr>
      </w:pPr>
    </w:p>
    <w:p w14:paraId="347C888A" w14:textId="68729FA9"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如欲瞭解更多詳情，請瀏覽生產力局網頁：www.hkpc.org。</w:t>
      </w:r>
    </w:p>
    <w:p w14:paraId="4D67E3CA" w14:textId="77777777" w:rsidR="00874E9E" w:rsidRPr="001730BE" w:rsidRDefault="00874E9E" w:rsidP="00874E9E">
      <w:pPr>
        <w:jc w:val="both"/>
        <w:rPr>
          <w:rFonts w:ascii="微軟正黑體" w:eastAsia="微軟正黑體" w:hAnsi="微軟正黑體"/>
          <w:color w:val="000000" w:themeColor="text1"/>
          <w:szCs w:val="24"/>
        </w:rPr>
      </w:pPr>
    </w:p>
    <w:p w14:paraId="50853AAA" w14:textId="77777777" w:rsidR="00124B29" w:rsidRPr="001730BE" w:rsidRDefault="00124B29"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查詢</w:t>
      </w:r>
    </w:p>
    <w:p w14:paraId="128135A2" w14:textId="4BE4A127" w:rsidR="00B94442" w:rsidRPr="001730BE" w:rsidRDefault="00B94442" w:rsidP="003A51DD">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1730BE" w:rsidRDefault="0079646F" w:rsidP="003A51DD">
      <w:pPr>
        <w:jc w:val="both"/>
        <w:rPr>
          <w:rFonts w:ascii="微軟正黑體" w:eastAsia="微軟正黑體" w:hAnsi="微軟正黑體"/>
          <w:color w:val="000000" w:themeColor="text1"/>
          <w:szCs w:val="24"/>
        </w:rPr>
      </w:pPr>
    </w:p>
    <w:p w14:paraId="4AE6679F" w14:textId="77777777" w:rsidR="00124B29" w:rsidRPr="001730BE" w:rsidRDefault="00124B29"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聲明</w:t>
      </w:r>
    </w:p>
    <w:p w14:paraId="10DC1011" w14:textId="258833F0" w:rsidR="00B94442" w:rsidRPr="001730BE" w:rsidRDefault="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B94442" w:rsidRPr="001730BE"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CAE57" w14:textId="77777777" w:rsidR="000C3273" w:rsidRDefault="000C3273" w:rsidP="007655C2">
      <w:pPr>
        <w:spacing w:line="240" w:lineRule="auto"/>
      </w:pPr>
      <w:r>
        <w:separator/>
      </w:r>
    </w:p>
  </w:endnote>
  <w:endnote w:type="continuationSeparator" w:id="0">
    <w:p w14:paraId="67A87A6B" w14:textId="77777777" w:rsidR="000C3273" w:rsidRDefault="000C327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C5CB" w14:textId="77777777" w:rsidR="000C3273" w:rsidRDefault="000C3273" w:rsidP="007655C2">
      <w:pPr>
        <w:spacing w:line="240" w:lineRule="auto"/>
      </w:pPr>
      <w:r>
        <w:separator/>
      </w:r>
    </w:p>
  </w:footnote>
  <w:footnote w:type="continuationSeparator" w:id="0">
    <w:p w14:paraId="11BDD338" w14:textId="77777777" w:rsidR="000C3273" w:rsidRDefault="000C327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CFB4B8C4"/>
    <w:lvl w:ilvl="0" w:tplc="5C989E08">
      <w:start w:val="1"/>
      <w:numFmt w:val="bullet"/>
      <w:lvlText w:val=""/>
      <w:lvlJc w:val="left"/>
      <w:pPr>
        <w:ind w:left="480" w:hanging="480"/>
      </w:pPr>
      <w:rPr>
        <w:rFonts w:ascii="Wingdings" w:hAnsi="Wingdings" w:hint="default"/>
        <w:color w:val="000000" w:themeColor="text1"/>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85618"/>
    <w:rsid w:val="000B5FA6"/>
    <w:rsid w:val="000C0FD8"/>
    <w:rsid w:val="000C3273"/>
    <w:rsid w:val="000C5688"/>
    <w:rsid w:val="000D6B72"/>
    <w:rsid w:val="000D6E8A"/>
    <w:rsid w:val="000E3568"/>
    <w:rsid w:val="000E517A"/>
    <w:rsid w:val="00106BD6"/>
    <w:rsid w:val="00110D8E"/>
    <w:rsid w:val="00115305"/>
    <w:rsid w:val="00124B29"/>
    <w:rsid w:val="001254FF"/>
    <w:rsid w:val="00126890"/>
    <w:rsid w:val="001275E0"/>
    <w:rsid w:val="001425D0"/>
    <w:rsid w:val="00156892"/>
    <w:rsid w:val="00156B0D"/>
    <w:rsid w:val="001730BE"/>
    <w:rsid w:val="00197F40"/>
    <w:rsid w:val="001A0045"/>
    <w:rsid w:val="001A2E92"/>
    <w:rsid w:val="001B5B08"/>
    <w:rsid w:val="001C5F51"/>
    <w:rsid w:val="001F3FD7"/>
    <w:rsid w:val="001F662D"/>
    <w:rsid w:val="00210B7B"/>
    <w:rsid w:val="00220154"/>
    <w:rsid w:val="00236CEF"/>
    <w:rsid w:val="002446D0"/>
    <w:rsid w:val="00260D34"/>
    <w:rsid w:val="00262339"/>
    <w:rsid w:val="00265896"/>
    <w:rsid w:val="00271449"/>
    <w:rsid w:val="002811A9"/>
    <w:rsid w:val="00281CA6"/>
    <w:rsid w:val="0028495E"/>
    <w:rsid w:val="002959CC"/>
    <w:rsid w:val="00297FD6"/>
    <w:rsid w:val="002E2378"/>
    <w:rsid w:val="002E3DF0"/>
    <w:rsid w:val="002E7590"/>
    <w:rsid w:val="003054D7"/>
    <w:rsid w:val="003238E6"/>
    <w:rsid w:val="00355175"/>
    <w:rsid w:val="003620DE"/>
    <w:rsid w:val="00366781"/>
    <w:rsid w:val="0036783E"/>
    <w:rsid w:val="00370CBC"/>
    <w:rsid w:val="00372BAA"/>
    <w:rsid w:val="003A51DD"/>
    <w:rsid w:val="003B275A"/>
    <w:rsid w:val="003C3B29"/>
    <w:rsid w:val="003C5D62"/>
    <w:rsid w:val="003E6E9D"/>
    <w:rsid w:val="003F40B2"/>
    <w:rsid w:val="004075A3"/>
    <w:rsid w:val="004150ED"/>
    <w:rsid w:val="00415B1F"/>
    <w:rsid w:val="004218CC"/>
    <w:rsid w:val="00444138"/>
    <w:rsid w:val="00451839"/>
    <w:rsid w:val="00461001"/>
    <w:rsid w:val="0046499C"/>
    <w:rsid w:val="004664BC"/>
    <w:rsid w:val="00467E1F"/>
    <w:rsid w:val="00474DC5"/>
    <w:rsid w:val="00476443"/>
    <w:rsid w:val="00476C9B"/>
    <w:rsid w:val="00497385"/>
    <w:rsid w:val="004A1A9C"/>
    <w:rsid w:val="004B2FDC"/>
    <w:rsid w:val="004D0336"/>
    <w:rsid w:val="004F094F"/>
    <w:rsid w:val="00515782"/>
    <w:rsid w:val="00521733"/>
    <w:rsid w:val="00523D60"/>
    <w:rsid w:val="005342E2"/>
    <w:rsid w:val="0054364D"/>
    <w:rsid w:val="005575AF"/>
    <w:rsid w:val="005733B0"/>
    <w:rsid w:val="00577B79"/>
    <w:rsid w:val="00592D90"/>
    <w:rsid w:val="005B44B6"/>
    <w:rsid w:val="005C2DF3"/>
    <w:rsid w:val="005C3FBF"/>
    <w:rsid w:val="005C4754"/>
    <w:rsid w:val="005C668D"/>
    <w:rsid w:val="005D3E99"/>
    <w:rsid w:val="005E6273"/>
    <w:rsid w:val="005F310D"/>
    <w:rsid w:val="006015BD"/>
    <w:rsid w:val="00602E9E"/>
    <w:rsid w:val="006042D1"/>
    <w:rsid w:val="006103BD"/>
    <w:rsid w:val="00616462"/>
    <w:rsid w:val="00617D14"/>
    <w:rsid w:val="00622155"/>
    <w:rsid w:val="00632ED2"/>
    <w:rsid w:val="006350A9"/>
    <w:rsid w:val="006459F5"/>
    <w:rsid w:val="0065612E"/>
    <w:rsid w:val="00667CEE"/>
    <w:rsid w:val="006700A3"/>
    <w:rsid w:val="00670688"/>
    <w:rsid w:val="00672EEE"/>
    <w:rsid w:val="00674EB6"/>
    <w:rsid w:val="006761B3"/>
    <w:rsid w:val="00680097"/>
    <w:rsid w:val="00680562"/>
    <w:rsid w:val="00693F02"/>
    <w:rsid w:val="006A2864"/>
    <w:rsid w:val="006A7169"/>
    <w:rsid w:val="006B0BF3"/>
    <w:rsid w:val="006B2D0E"/>
    <w:rsid w:val="006E18EF"/>
    <w:rsid w:val="006E4F3C"/>
    <w:rsid w:val="0070685F"/>
    <w:rsid w:val="00710AF7"/>
    <w:rsid w:val="00714F44"/>
    <w:rsid w:val="007163A4"/>
    <w:rsid w:val="00731EA5"/>
    <w:rsid w:val="007453C0"/>
    <w:rsid w:val="00745C89"/>
    <w:rsid w:val="007655C2"/>
    <w:rsid w:val="0078137D"/>
    <w:rsid w:val="00785C29"/>
    <w:rsid w:val="007958C3"/>
    <w:rsid w:val="0079646F"/>
    <w:rsid w:val="007A172D"/>
    <w:rsid w:val="007B0722"/>
    <w:rsid w:val="007D5085"/>
    <w:rsid w:val="007E1207"/>
    <w:rsid w:val="007E62A6"/>
    <w:rsid w:val="00811DA4"/>
    <w:rsid w:val="008224C5"/>
    <w:rsid w:val="00840AE2"/>
    <w:rsid w:val="00841F34"/>
    <w:rsid w:val="00843D53"/>
    <w:rsid w:val="00853103"/>
    <w:rsid w:val="00855B21"/>
    <w:rsid w:val="00861671"/>
    <w:rsid w:val="00865A12"/>
    <w:rsid w:val="00874C21"/>
    <w:rsid w:val="00874E9E"/>
    <w:rsid w:val="00877E8D"/>
    <w:rsid w:val="00881122"/>
    <w:rsid w:val="00886681"/>
    <w:rsid w:val="00896D88"/>
    <w:rsid w:val="008974E8"/>
    <w:rsid w:val="008A36F7"/>
    <w:rsid w:val="008C53CC"/>
    <w:rsid w:val="008D1179"/>
    <w:rsid w:val="008D45B5"/>
    <w:rsid w:val="008D593E"/>
    <w:rsid w:val="008E4EDC"/>
    <w:rsid w:val="008E5264"/>
    <w:rsid w:val="008E571C"/>
    <w:rsid w:val="008F7D5D"/>
    <w:rsid w:val="009055BA"/>
    <w:rsid w:val="009156F1"/>
    <w:rsid w:val="009172F6"/>
    <w:rsid w:val="00930879"/>
    <w:rsid w:val="0094192F"/>
    <w:rsid w:val="00943099"/>
    <w:rsid w:val="00943C30"/>
    <w:rsid w:val="00947E59"/>
    <w:rsid w:val="00951810"/>
    <w:rsid w:val="00960517"/>
    <w:rsid w:val="00961381"/>
    <w:rsid w:val="009622C2"/>
    <w:rsid w:val="00966327"/>
    <w:rsid w:val="0096640B"/>
    <w:rsid w:val="00972D66"/>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787D"/>
    <w:rsid w:val="00A911EB"/>
    <w:rsid w:val="00AA1E16"/>
    <w:rsid w:val="00AA29D8"/>
    <w:rsid w:val="00AA55A7"/>
    <w:rsid w:val="00AB09A0"/>
    <w:rsid w:val="00AC1F31"/>
    <w:rsid w:val="00AD2D18"/>
    <w:rsid w:val="00AF6463"/>
    <w:rsid w:val="00AF65D7"/>
    <w:rsid w:val="00B07438"/>
    <w:rsid w:val="00B2247E"/>
    <w:rsid w:val="00B224AB"/>
    <w:rsid w:val="00B22EBA"/>
    <w:rsid w:val="00B26F1D"/>
    <w:rsid w:val="00B401A9"/>
    <w:rsid w:val="00B447BA"/>
    <w:rsid w:val="00B6353F"/>
    <w:rsid w:val="00B66CD4"/>
    <w:rsid w:val="00B94442"/>
    <w:rsid w:val="00B968FC"/>
    <w:rsid w:val="00BA1B51"/>
    <w:rsid w:val="00C03FC1"/>
    <w:rsid w:val="00C04964"/>
    <w:rsid w:val="00C0683E"/>
    <w:rsid w:val="00C25B9B"/>
    <w:rsid w:val="00C277E2"/>
    <w:rsid w:val="00C33713"/>
    <w:rsid w:val="00C43E4B"/>
    <w:rsid w:val="00C51F89"/>
    <w:rsid w:val="00C600B0"/>
    <w:rsid w:val="00C80BDA"/>
    <w:rsid w:val="00C95BE1"/>
    <w:rsid w:val="00CA33B2"/>
    <w:rsid w:val="00CB5400"/>
    <w:rsid w:val="00CD0232"/>
    <w:rsid w:val="00D0732C"/>
    <w:rsid w:val="00D1196E"/>
    <w:rsid w:val="00D14F93"/>
    <w:rsid w:val="00D36F36"/>
    <w:rsid w:val="00D4193A"/>
    <w:rsid w:val="00D47E0E"/>
    <w:rsid w:val="00D5327A"/>
    <w:rsid w:val="00D754B9"/>
    <w:rsid w:val="00D80487"/>
    <w:rsid w:val="00D808FC"/>
    <w:rsid w:val="00D81032"/>
    <w:rsid w:val="00D87A29"/>
    <w:rsid w:val="00DA560A"/>
    <w:rsid w:val="00DC029B"/>
    <w:rsid w:val="00DC1614"/>
    <w:rsid w:val="00DC460F"/>
    <w:rsid w:val="00DC5B38"/>
    <w:rsid w:val="00DD3348"/>
    <w:rsid w:val="00DD45D2"/>
    <w:rsid w:val="00DD59FF"/>
    <w:rsid w:val="00DD60BD"/>
    <w:rsid w:val="00DF4914"/>
    <w:rsid w:val="00DF6233"/>
    <w:rsid w:val="00E04B40"/>
    <w:rsid w:val="00E07350"/>
    <w:rsid w:val="00E16BF3"/>
    <w:rsid w:val="00E327C1"/>
    <w:rsid w:val="00E34D4B"/>
    <w:rsid w:val="00E35012"/>
    <w:rsid w:val="00E46DB7"/>
    <w:rsid w:val="00E615EC"/>
    <w:rsid w:val="00E94649"/>
    <w:rsid w:val="00EA6C7C"/>
    <w:rsid w:val="00EB26C8"/>
    <w:rsid w:val="00EB3FB0"/>
    <w:rsid w:val="00EC0577"/>
    <w:rsid w:val="00ED1FAF"/>
    <w:rsid w:val="00EE48C6"/>
    <w:rsid w:val="00F00623"/>
    <w:rsid w:val="00F04785"/>
    <w:rsid w:val="00F0649C"/>
    <w:rsid w:val="00F10725"/>
    <w:rsid w:val="00F11B93"/>
    <w:rsid w:val="00F1251D"/>
    <w:rsid w:val="00F241D0"/>
    <w:rsid w:val="00F31935"/>
    <w:rsid w:val="00F45B59"/>
    <w:rsid w:val="00F90F70"/>
    <w:rsid w:val="00F95643"/>
    <w:rsid w:val="00F97C80"/>
    <w:rsid w:val="00FB06C8"/>
    <w:rsid w:val="00FB2B90"/>
    <w:rsid w:val="00FB2EF1"/>
    <w:rsid w:val="00FB4D5B"/>
    <w:rsid w:val="00FB5D1B"/>
    <w:rsid w:val="00FC3B5E"/>
    <w:rsid w:val="00FE3915"/>
    <w:rsid w:val="00FE5066"/>
    <w:rsid w:val="00FF0614"/>
    <w:rsid w:val="00FF0903"/>
    <w:rsid w:val="00FF12A4"/>
    <w:rsid w:val="00FF7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9</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198</cp:revision>
  <cp:lastPrinted>2023-04-26T04:03:00Z</cp:lastPrinted>
  <dcterms:created xsi:type="dcterms:W3CDTF">2015-11-13T04:04:00Z</dcterms:created>
  <dcterms:modified xsi:type="dcterms:W3CDTF">2024-10-24T04:51:00Z</dcterms:modified>
</cp:coreProperties>
</file>